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062FBCE3" w:rsidR="00DF0362" w:rsidRPr="00EA3011"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w:t>
      </w:r>
      <w:r w:rsidR="006B40AE">
        <w:rPr>
          <w:rFonts w:ascii="Arial" w:hAnsi="Arial" w:cs="Arial"/>
          <w:b/>
          <w:bCs/>
          <w:snapToGrid w:val="0"/>
          <w:sz w:val="24"/>
          <w:lang w:val="en-GB"/>
        </w:rPr>
        <w:t>3</w:t>
      </w:r>
      <w:r w:rsidR="0067729B">
        <w:rPr>
          <w:rFonts w:ascii="Arial" w:hAnsi="Arial" w:cs="Arial"/>
          <w:b/>
          <w:bCs/>
          <w:snapToGrid w:val="0"/>
          <w:sz w:val="24"/>
          <w:lang w:val="en-GB"/>
        </w:rPr>
        <w:t>-e</w:t>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3258B0">
        <w:rPr>
          <w:rFonts w:ascii="Arial" w:hAnsi="Arial" w:cs="Arial"/>
          <w:b/>
          <w:bCs/>
          <w:snapToGrid w:val="0"/>
          <w:sz w:val="24"/>
          <w:lang w:val="en-GB"/>
        </w:rPr>
        <w:t>R1-</w:t>
      </w:r>
      <w:r w:rsidR="00941D37" w:rsidRPr="003258B0">
        <w:rPr>
          <w:rFonts w:ascii="Arial" w:hAnsi="Arial" w:cs="Arial"/>
          <w:b/>
          <w:bCs/>
          <w:snapToGrid w:val="0"/>
          <w:sz w:val="24"/>
          <w:lang w:val="en-GB"/>
        </w:rPr>
        <w:t>20</w:t>
      </w:r>
      <w:r w:rsidR="00C8148A">
        <w:rPr>
          <w:rFonts w:ascii="Arial" w:hAnsi="Arial" w:cs="Arial"/>
          <w:b/>
          <w:bCs/>
          <w:snapToGrid w:val="0"/>
          <w:sz w:val="24"/>
          <w:lang w:val="en-GB"/>
        </w:rPr>
        <w:t>08573</w:t>
      </w:r>
    </w:p>
    <w:p w14:paraId="1AB33F1B" w14:textId="3922C534" w:rsidR="00B83DEB" w:rsidRPr="00CB3219" w:rsidRDefault="004D16F8"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w:t>
      </w:r>
      <w:r w:rsidR="006B40AE">
        <w:rPr>
          <w:rFonts w:ascii="Arial" w:hAnsi="Arial" w:cs="Arial"/>
          <w:b/>
          <w:bCs/>
          <w:snapToGrid w:val="0"/>
          <w:sz w:val="24"/>
          <w:lang w:val="en-GB"/>
        </w:rPr>
        <w:t>October</w:t>
      </w:r>
      <w:r w:rsidR="00016147" w:rsidRPr="00016147">
        <w:rPr>
          <w:rFonts w:ascii="Arial" w:hAnsi="Arial" w:cs="Arial"/>
          <w:b/>
          <w:bCs/>
          <w:snapToGrid w:val="0"/>
          <w:sz w:val="24"/>
          <w:lang w:val="en-GB"/>
        </w:rPr>
        <w:t xml:space="preserve"> </w:t>
      </w:r>
      <w:r w:rsidR="006B40AE">
        <w:rPr>
          <w:rFonts w:ascii="Arial" w:hAnsi="Arial" w:cs="Arial"/>
          <w:b/>
          <w:bCs/>
          <w:snapToGrid w:val="0"/>
          <w:sz w:val="24"/>
          <w:lang w:val="en-GB"/>
        </w:rPr>
        <w:t>26</w:t>
      </w:r>
      <w:r w:rsidR="00016147" w:rsidRPr="00016147">
        <w:rPr>
          <w:rFonts w:ascii="Arial" w:hAnsi="Arial" w:cs="Arial"/>
          <w:b/>
          <w:bCs/>
          <w:snapToGrid w:val="0"/>
          <w:sz w:val="24"/>
          <w:vertAlign w:val="superscript"/>
          <w:lang w:val="en-GB"/>
        </w:rPr>
        <w:t>th</w:t>
      </w:r>
      <w:r w:rsidR="00016147" w:rsidRPr="00016147">
        <w:rPr>
          <w:rFonts w:ascii="Arial" w:hAnsi="Arial" w:cs="Arial"/>
          <w:b/>
          <w:bCs/>
          <w:snapToGrid w:val="0"/>
          <w:sz w:val="24"/>
          <w:lang w:val="en-GB"/>
        </w:rPr>
        <w:t xml:space="preserve"> –</w:t>
      </w:r>
      <w:r w:rsidR="006B40AE">
        <w:rPr>
          <w:rFonts w:ascii="Arial" w:hAnsi="Arial" w:cs="Arial"/>
          <w:b/>
          <w:bCs/>
          <w:snapToGrid w:val="0"/>
          <w:sz w:val="24"/>
          <w:lang w:val="en-GB"/>
        </w:rPr>
        <w:t xml:space="preserve"> Novembe13</w:t>
      </w:r>
      <w:r w:rsidR="00016147"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41AAE28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0067729B">
        <w:rPr>
          <w:rFonts w:ascii="Arial" w:hAnsi="Arial" w:cs="Arial"/>
          <w:snapToGrid w:val="0"/>
          <w:sz w:val="24"/>
        </w:rPr>
        <w:t>8.1.1</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7D1E7F0C"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8809AB">
        <w:rPr>
          <w:rFonts w:ascii="Arial" w:hAnsi="Arial" w:cs="Arial" w:hint="eastAsia"/>
          <w:snapToGrid w:val="0"/>
          <w:sz w:val="24"/>
        </w:rPr>
        <w:t>Enhancements</w:t>
      </w:r>
      <w:r w:rsidR="0067729B">
        <w:rPr>
          <w:rFonts w:ascii="Arial" w:hAnsi="Arial" w:cs="Arial"/>
          <w:snapToGrid w:val="0"/>
          <w:sz w:val="24"/>
        </w:rPr>
        <w:t xml:space="preserve"> </w:t>
      </w:r>
      <w:r w:rsidR="0067729B">
        <w:rPr>
          <w:rFonts w:ascii="Arial" w:hAnsi="Arial" w:cs="Arial"/>
          <w:sz w:val="24"/>
        </w:rPr>
        <w:t xml:space="preserve">on Multi-beam </w:t>
      </w:r>
      <w:r w:rsidR="008809AB">
        <w:rPr>
          <w:rFonts w:ascii="Arial" w:hAnsi="Arial" w:cs="Arial"/>
          <w:sz w:val="24"/>
        </w:rPr>
        <w:t>O</w:t>
      </w:r>
      <w:r w:rsidR="0067729B">
        <w:rPr>
          <w:rFonts w:ascii="Arial" w:hAnsi="Arial" w:cs="Arial"/>
          <w:sz w:val="24"/>
        </w:rPr>
        <w:t>peration</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4C9DF2A" w14:textId="488B2683" w:rsidR="00675FB9" w:rsidRDefault="000E4CFC" w:rsidP="00262053">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RAN</w:t>
      </w:r>
      <w:r w:rsidR="0053376A">
        <w:rPr>
          <w:b w:val="0"/>
          <w:sz w:val="22"/>
          <w:lang w:val="en-US"/>
        </w:rPr>
        <w:t>1</w:t>
      </w:r>
      <w:r>
        <w:rPr>
          <w:b w:val="0"/>
          <w:sz w:val="22"/>
          <w:lang w:val="en-US"/>
        </w:rPr>
        <w:t>#</w:t>
      </w:r>
      <w:r w:rsidR="0054222A">
        <w:rPr>
          <w:b w:val="0"/>
          <w:sz w:val="22"/>
          <w:lang w:val="en-US"/>
        </w:rPr>
        <w:t>86</w:t>
      </w:r>
      <w:r>
        <w:rPr>
          <w:b w:val="0"/>
          <w:sz w:val="22"/>
          <w:lang w:val="en-US"/>
        </w:rPr>
        <w:t xml:space="preserve"> meeting, </w:t>
      </w:r>
      <w:r w:rsidR="0054222A">
        <w:rPr>
          <w:b w:val="0"/>
          <w:sz w:val="22"/>
          <w:lang w:val="en-US"/>
        </w:rPr>
        <w:t xml:space="preserve">the WID for further enhancements on MIMO for NR was approved [1], where </w:t>
      </w:r>
      <w:r>
        <w:rPr>
          <w:b w:val="0"/>
          <w:sz w:val="22"/>
          <w:lang w:val="en-US"/>
        </w:rPr>
        <w:t xml:space="preserve">the following WI objectives on enhancements </w:t>
      </w:r>
      <w:r w:rsidR="0054222A">
        <w:rPr>
          <w:b w:val="0"/>
          <w:sz w:val="22"/>
          <w:lang w:val="en-US"/>
        </w:rPr>
        <w:t>of</w:t>
      </w:r>
      <w:r>
        <w:rPr>
          <w:b w:val="0"/>
          <w:sz w:val="22"/>
          <w:lang w:val="en-US"/>
        </w:rPr>
        <w:t xml:space="preserve"> multi-beam</w:t>
      </w:r>
      <w:r w:rsidR="00B41C3A">
        <w:rPr>
          <w:b w:val="0"/>
          <w:sz w:val="22"/>
          <w:lang w:val="en-US"/>
        </w:rPr>
        <w:t xml:space="preserve"> (MB)</w:t>
      </w:r>
      <w:r>
        <w:rPr>
          <w:b w:val="0"/>
          <w:sz w:val="22"/>
          <w:lang w:val="en-US"/>
        </w:rPr>
        <w:t xml:space="preserve"> operations</w:t>
      </w:r>
      <w:r w:rsidR="005D1FB3">
        <w:rPr>
          <w:b w:val="0"/>
          <w:sz w:val="22"/>
          <w:lang w:val="en-US"/>
        </w:rPr>
        <w:t xml:space="preserve"> are listed</w:t>
      </w:r>
      <w:r>
        <w:rPr>
          <w:b w:val="0"/>
          <w:sz w:val="22"/>
          <w:lang w:val="en-US"/>
        </w:rPr>
        <w:t>:</w:t>
      </w:r>
    </w:p>
    <w:tbl>
      <w:tblPr>
        <w:tblStyle w:val="a7"/>
        <w:tblW w:w="0" w:type="auto"/>
        <w:tblLook w:val="04A0" w:firstRow="1" w:lastRow="0" w:firstColumn="1" w:lastColumn="0" w:noHBand="0" w:noVBand="1"/>
      </w:tblPr>
      <w:tblGrid>
        <w:gridCol w:w="9016"/>
      </w:tblGrid>
      <w:tr w:rsidR="00262053" w14:paraId="77CB49CD" w14:textId="77777777" w:rsidTr="00262053">
        <w:tc>
          <w:tcPr>
            <w:tcW w:w="9016" w:type="dxa"/>
          </w:tcPr>
          <w:p w14:paraId="6BA3BBDB" w14:textId="77777777" w:rsidR="00262053" w:rsidRPr="00262053" w:rsidRDefault="00262053" w:rsidP="00262053">
            <w:pPr>
              <w:widowControl/>
              <w:numPr>
                <w:ilvl w:val="0"/>
                <w:numId w:val="43"/>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 xml:space="preserve">Enhancement on multi-beam operation, mainly targeting FR2 while also applicable to FR1: </w:t>
            </w:r>
          </w:p>
          <w:p w14:paraId="036AA471" w14:textId="77777777" w:rsidR="00262053" w:rsidRPr="00262053" w:rsidRDefault="00262053" w:rsidP="00262053">
            <w:pPr>
              <w:widowControl/>
              <w:numPr>
                <w:ilvl w:val="1"/>
                <w:numId w:val="43"/>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Identify and specify features to facilitate more efficient (lower latency and overhead) DL/UL beam management to support higher intra- and L1/L2-centric inter-cell mobility and/or a larger number of configured TCI states:</w:t>
            </w:r>
          </w:p>
          <w:p w14:paraId="2D333B79" w14:textId="77777777" w:rsidR="00262053" w:rsidRPr="00262053" w:rsidRDefault="00262053" w:rsidP="0051576F">
            <w:pPr>
              <w:widowControl/>
              <w:numPr>
                <w:ilvl w:val="2"/>
                <w:numId w:val="43"/>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Common beam for data and control transmission/reception for DL and UL, especially for intra-band CA</w:t>
            </w:r>
          </w:p>
          <w:p w14:paraId="217D622E" w14:textId="77777777" w:rsidR="00262053" w:rsidRPr="00262053" w:rsidRDefault="00262053" w:rsidP="0051576F">
            <w:pPr>
              <w:widowControl/>
              <w:numPr>
                <w:ilvl w:val="2"/>
                <w:numId w:val="43"/>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Unified TCI framework for DL and UL beam indication</w:t>
            </w:r>
          </w:p>
          <w:p w14:paraId="622C54A7" w14:textId="77777777" w:rsidR="00262053" w:rsidRPr="00262053" w:rsidRDefault="00262053" w:rsidP="0051576F">
            <w:pPr>
              <w:widowControl/>
              <w:numPr>
                <w:ilvl w:val="2"/>
                <w:numId w:val="43"/>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Enhancement on signaling mechanisms for the above features to improve latency and efficiency with more usage of dynamic control signaling (as opposed to RRC)</w:t>
            </w:r>
          </w:p>
          <w:p w14:paraId="7A6E62A5" w14:textId="3337D3F9" w:rsidR="00262053" w:rsidRPr="00262053" w:rsidRDefault="00262053" w:rsidP="00262053">
            <w:pPr>
              <w:widowControl/>
              <w:numPr>
                <w:ilvl w:val="1"/>
                <w:numId w:val="43"/>
              </w:numPr>
              <w:wordWrap/>
              <w:overflowPunct w:val="0"/>
              <w:autoSpaceDE/>
              <w:autoSpaceDN/>
              <w:adjustRightInd w:val="0"/>
              <w:spacing w:after="0"/>
              <w:textAlignment w:val="baseline"/>
              <w:rPr>
                <w:rFonts w:eastAsia="맑은 고딕"/>
                <w:lang w:val="en-GB" w:eastAsia="en-US"/>
              </w:rPr>
            </w:pPr>
            <w:r w:rsidRPr="00262053">
              <w:rPr>
                <w:rFonts w:eastAsia="맑은 고딕"/>
                <w:lang w:val="en-GB" w:eastAsia="en-US"/>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4B6E98B1" w14:textId="05B67D78" w:rsidR="00262053" w:rsidRPr="00112A67" w:rsidRDefault="00076403" w:rsidP="00262053">
      <w:pPr>
        <w:pStyle w:val="LGTdoc1"/>
        <w:snapToGrid/>
        <w:spacing w:beforeLines="0" w:before="100" w:beforeAutospacing="1" w:line="360" w:lineRule="auto"/>
        <w:contextualSpacing/>
        <w:rPr>
          <w:b w:val="0"/>
          <w:sz w:val="22"/>
          <w:lang w:val="en-US"/>
        </w:rPr>
      </w:pPr>
      <w:r>
        <w:rPr>
          <w:rFonts w:hint="eastAsia"/>
          <w:b w:val="0"/>
          <w:sz w:val="22"/>
          <w:lang w:val="en-US"/>
        </w:rPr>
        <w:t>Based o</w:t>
      </w:r>
      <w:r>
        <w:rPr>
          <w:b w:val="0"/>
          <w:sz w:val="22"/>
          <w:lang w:val="en-US"/>
        </w:rPr>
        <w:t xml:space="preserve">n the above, the agreements on evaluation methodology (EVM) and several issues on MB are captured in </w:t>
      </w:r>
      <w:r w:rsidR="00983E2A">
        <w:rPr>
          <w:b w:val="0"/>
          <w:sz w:val="22"/>
          <w:lang w:val="en-US"/>
        </w:rPr>
        <w:t xml:space="preserve">the chairman’s note in RAN1#102-e meeting [2]. </w:t>
      </w:r>
      <w:r w:rsidR="0051576F">
        <w:rPr>
          <w:rFonts w:hint="eastAsia"/>
          <w:b w:val="0"/>
          <w:sz w:val="22"/>
          <w:lang w:val="en-US"/>
        </w:rPr>
        <w:t xml:space="preserve">In this contribution, we </w:t>
      </w:r>
      <w:r w:rsidR="00E276B6">
        <w:rPr>
          <w:rFonts w:hint="eastAsia"/>
          <w:b w:val="0"/>
          <w:sz w:val="22"/>
          <w:lang w:val="en-US"/>
        </w:rPr>
        <w:t>share our view on the</w:t>
      </w:r>
      <w:r w:rsidR="008F6019">
        <w:rPr>
          <w:b w:val="0"/>
          <w:sz w:val="22"/>
          <w:lang w:val="en-US"/>
        </w:rPr>
        <w:t xml:space="preserve"> enhancement</w:t>
      </w:r>
      <w:r w:rsidR="00E276B6">
        <w:rPr>
          <w:b w:val="0"/>
          <w:sz w:val="22"/>
          <w:lang w:val="en-US"/>
        </w:rPr>
        <w:t>s</w:t>
      </w:r>
      <w:r w:rsidR="008F6019">
        <w:rPr>
          <w:b w:val="0"/>
          <w:sz w:val="22"/>
          <w:lang w:val="en-US"/>
        </w:rPr>
        <w:t xml:space="preserve"> on the UL/DL beam management</w:t>
      </w:r>
      <w:r w:rsidR="00983E2A">
        <w:rPr>
          <w:b w:val="0"/>
          <w:sz w:val="22"/>
          <w:lang w:val="en-US"/>
        </w:rPr>
        <w:t>.</w:t>
      </w:r>
    </w:p>
    <w:p w14:paraId="0A308032" w14:textId="30ECCD8B" w:rsidR="008F489F" w:rsidRPr="00BF3E00" w:rsidRDefault="00B41C3A" w:rsidP="00BF3E00">
      <w:pPr>
        <w:pStyle w:val="1"/>
        <w:numPr>
          <w:ilvl w:val="0"/>
          <w:numId w:val="1"/>
        </w:numPr>
        <w:ind w:left="426" w:hanging="426"/>
      </w:pPr>
      <w:r>
        <w:t>Efficient UL/DL beam management</w:t>
      </w:r>
    </w:p>
    <w:p w14:paraId="355CC414" w14:textId="74E4977D" w:rsidR="008F489F" w:rsidRPr="005918A2" w:rsidRDefault="008F489F" w:rsidP="00A57B8E">
      <w:pPr>
        <w:pStyle w:val="LGTdoc1"/>
        <w:snapToGrid/>
        <w:spacing w:beforeLines="0" w:before="100" w:beforeAutospacing="1" w:line="360" w:lineRule="auto"/>
        <w:ind w:firstLineChars="129" w:firstLine="284"/>
        <w:contextualSpacing/>
        <w:rPr>
          <w:lang w:val="en-US"/>
        </w:rPr>
      </w:pPr>
      <w:r>
        <w:rPr>
          <w:b w:val="0"/>
          <w:sz w:val="22"/>
          <w:lang w:val="en-US"/>
        </w:rPr>
        <w:t xml:space="preserve">In this section, we </w:t>
      </w:r>
      <w:r w:rsidR="00831F69">
        <w:rPr>
          <w:b w:val="0"/>
          <w:sz w:val="22"/>
          <w:lang w:val="en-US"/>
        </w:rPr>
        <w:t>investigate categorized issue</w:t>
      </w:r>
      <w:r w:rsidR="00BE7E6A">
        <w:rPr>
          <w:b w:val="0"/>
          <w:sz w:val="22"/>
          <w:lang w:val="en-US"/>
        </w:rPr>
        <w:t>s</w:t>
      </w:r>
      <w:r w:rsidR="00831F69">
        <w:rPr>
          <w:b w:val="0"/>
          <w:sz w:val="22"/>
          <w:lang w:val="en-US"/>
        </w:rPr>
        <w:t xml:space="preserve"> on MB</w:t>
      </w:r>
      <w:r w:rsidR="00547E6D">
        <w:rPr>
          <w:b w:val="0"/>
          <w:sz w:val="22"/>
          <w:lang w:val="en-US"/>
        </w:rPr>
        <w:t xml:space="preserve"> operation</w:t>
      </w:r>
      <w:r w:rsidR="00831F69">
        <w:rPr>
          <w:b w:val="0"/>
          <w:sz w:val="22"/>
          <w:lang w:val="en-US"/>
        </w:rPr>
        <w:t xml:space="preserve"> [2] in each subsection, respectively. </w:t>
      </w:r>
    </w:p>
    <w:p w14:paraId="59624020" w14:textId="0A8F42E5" w:rsidR="00284F73" w:rsidRPr="00831F69" w:rsidRDefault="008F6019" w:rsidP="00831F69">
      <w:pPr>
        <w:pStyle w:val="1"/>
        <w:numPr>
          <w:ilvl w:val="1"/>
          <w:numId w:val="1"/>
        </w:numPr>
        <w:tabs>
          <w:tab w:val="left" w:pos="851"/>
        </w:tabs>
        <w:ind w:left="993" w:hanging="993"/>
      </w:pPr>
      <w:r>
        <w:t>Unified TCI framework</w:t>
      </w:r>
    </w:p>
    <w:tbl>
      <w:tblPr>
        <w:tblStyle w:val="a7"/>
        <w:tblW w:w="0" w:type="auto"/>
        <w:tblLook w:val="04A0" w:firstRow="1" w:lastRow="0" w:firstColumn="1" w:lastColumn="0" w:noHBand="0" w:noVBand="1"/>
      </w:tblPr>
      <w:tblGrid>
        <w:gridCol w:w="9016"/>
      </w:tblGrid>
      <w:tr w:rsidR="008F6019" w14:paraId="3EC18EB7" w14:textId="77777777" w:rsidTr="008F6019">
        <w:tc>
          <w:tcPr>
            <w:tcW w:w="9016" w:type="dxa"/>
          </w:tcPr>
          <w:p w14:paraId="4E1FE021" w14:textId="37737038" w:rsidR="008F6019" w:rsidRPr="008F6019" w:rsidRDefault="008F6019" w:rsidP="008F6019">
            <w:pPr>
              <w:widowControl/>
              <w:wordWrap/>
              <w:autoSpaceDE/>
              <w:spacing w:after="0"/>
              <w:rPr>
                <w:rFonts w:ascii="Times" w:eastAsia="맑은 고딕" w:hAnsi="Times" w:cs="Times"/>
                <w:b/>
                <w:bCs/>
                <w:highlight w:val="green"/>
                <w:lang w:val="en-GB" w:eastAsia="x-none"/>
              </w:rPr>
            </w:pPr>
            <w:r w:rsidRPr="008F6019">
              <w:rPr>
                <w:rFonts w:ascii="Times" w:eastAsia="맑은 고딕" w:hAnsi="Times" w:cs="Times"/>
                <w:b/>
                <w:bCs/>
                <w:highlight w:val="green"/>
                <w:lang w:val="en-GB" w:eastAsia="x-none"/>
              </w:rPr>
              <w:t>Agreement</w:t>
            </w:r>
          </w:p>
          <w:p w14:paraId="37E63173" w14:textId="77777777" w:rsidR="008F6019" w:rsidRPr="008F6019" w:rsidRDefault="008F6019" w:rsidP="008F6019">
            <w:pPr>
              <w:widowControl/>
              <w:numPr>
                <w:ilvl w:val="0"/>
                <w:numId w:val="45"/>
              </w:numPr>
              <w:wordWrap/>
              <w:autoSpaceDE/>
              <w:snapToGrid w:val="0"/>
              <w:spacing w:after="0"/>
              <w:contextualSpacing/>
              <w:rPr>
                <w:rFonts w:eastAsia="맑은 고딕"/>
                <w:lang w:val="en-GB" w:eastAsia="x-none"/>
              </w:rPr>
            </w:pPr>
            <w:r w:rsidRPr="008F6019">
              <w:rPr>
                <w:rFonts w:eastAsia="맑은 고딕"/>
                <w:lang w:val="en-GB" w:eastAsia="x-none"/>
              </w:rPr>
              <w:t>[Issue 1] For Rel.17 NR FeMIMO, on the unified TCI framework</w:t>
            </w:r>
          </w:p>
          <w:p w14:paraId="1503CBFE" w14:textId="77777777" w:rsidR="008F6019" w:rsidRPr="008F6019" w:rsidRDefault="008F6019" w:rsidP="008F6019">
            <w:pPr>
              <w:widowControl/>
              <w:numPr>
                <w:ilvl w:val="1"/>
                <w:numId w:val="45"/>
              </w:numPr>
              <w:wordWrap/>
              <w:autoSpaceDE/>
              <w:snapToGrid w:val="0"/>
              <w:spacing w:after="0"/>
              <w:contextualSpacing/>
              <w:rPr>
                <w:rFonts w:eastAsia="맑은 고딕"/>
                <w:lang w:val="en-GB" w:eastAsia="x-none"/>
              </w:rPr>
            </w:pPr>
            <w:r w:rsidRPr="008F6019">
              <w:rPr>
                <w:rFonts w:eastAsia="맑은 고딕"/>
                <w:lang w:val="en-GB" w:eastAsia="x-none"/>
              </w:rPr>
              <w:t>Support joint TCI for DL and UL based on and analogous to Rel.15/16 DL TCI framework</w:t>
            </w:r>
          </w:p>
          <w:p w14:paraId="4DB58020"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 xml:space="preserve">The term “TCI” at least comprises a TCI state that </w:t>
            </w:r>
            <w:r w:rsidRPr="008F6019">
              <w:rPr>
                <w:rFonts w:eastAsia="맑은 고딕"/>
                <w:u w:val="single"/>
                <w:lang w:val="en-GB" w:eastAsia="x-none"/>
              </w:rPr>
              <w:t>includes</w:t>
            </w:r>
            <w:r w:rsidRPr="008F6019">
              <w:rPr>
                <w:rFonts w:eastAsia="맑은 고딕"/>
                <w:lang w:val="en-GB" w:eastAsia="x-none"/>
              </w:rPr>
              <w:t xml:space="preserve"> at least one source RS to provide a reference (UE assumption) for determining QCL and/or spatial filter </w:t>
            </w:r>
          </w:p>
          <w:p w14:paraId="470135F3"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The source reference signal(s) in M TCIs provide common QCL information at least for UE-dedicated reception on PDSCH and all or subset of CORESETs in a CC</w:t>
            </w:r>
          </w:p>
          <w:p w14:paraId="147F7B74" w14:textId="77777777" w:rsidR="008F6019" w:rsidRPr="008F6019" w:rsidRDefault="008F6019" w:rsidP="008F6019">
            <w:pPr>
              <w:widowControl/>
              <w:numPr>
                <w:ilvl w:val="3"/>
                <w:numId w:val="45"/>
              </w:numPr>
              <w:wordWrap/>
              <w:autoSpaceDE/>
              <w:snapToGrid w:val="0"/>
              <w:spacing w:after="0"/>
              <w:contextualSpacing/>
              <w:rPr>
                <w:rFonts w:eastAsia="맑은 고딕"/>
                <w:lang w:val="en-GB" w:eastAsia="x-none"/>
              </w:rPr>
            </w:pPr>
            <w:r w:rsidRPr="008F6019">
              <w:rPr>
                <w:rFonts w:eastAsia="맑은 고딕"/>
                <w:lang w:val="en-GB" w:eastAsia="x-none"/>
              </w:rPr>
              <w:t>FFS: Optionally this common QCL information can also apply to CSI-RS resource for CSI, CSI-RS resource for BM, and CSI-RS for tracking</w:t>
            </w:r>
          </w:p>
          <w:p w14:paraId="79AFD240" w14:textId="77777777" w:rsidR="008F6019" w:rsidRPr="008F6019" w:rsidRDefault="008F6019" w:rsidP="008F6019">
            <w:pPr>
              <w:widowControl/>
              <w:numPr>
                <w:ilvl w:val="3"/>
                <w:numId w:val="45"/>
              </w:numPr>
              <w:wordWrap/>
              <w:autoSpaceDE/>
              <w:snapToGrid w:val="0"/>
              <w:spacing w:after="0"/>
              <w:contextualSpacing/>
              <w:rPr>
                <w:rFonts w:eastAsia="맑은 고딕"/>
                <w:lang w:val="en-GB" w:eastAsia="x-none"/>
              </w:rPr>
            </w:pPr>
            <w:r w:rsidRPr="008F6019">
              <w:rPr>
                <w:rFonts w:eastAsia="맑은 고딕"/>
                <w:lang w:val="en-GB" w:eastAsia="x-none"/>
              </w:rPr>
              <w:t>FFS: Applicability on PD</w:t>
            </w:r>
            <w:r w:rsidRPr="008F6019">
              <w:rPr>
                <w:rFonts w:eastAsia="맑은 고딕"/>
                <w:lang w:val="en-GB"/>
              </w:rPr>
              <w:t>S</w:t>
            </w:r>
            <w:r w:rsidRPr="008F6019">
              <w:rPr>
                <w:rFonts w:eastAsia="맑은 고딕"/>
                <w:lang w:val="en-GB" w:eastAsia="x-none"/>
              </w:rPr>
              <w:t>CH includes PDSCH default beam</w:t>
            </w:r>
          </w:p>
          <w:p w14:paraId="6921DB88" w14:textId="77777777" w:rsidR="008F6019" w:rsidRPr="008F6019" w:rsidRDefault="008F6019" w:rsidP="008F6019">
            <w:pPr>
              <w:widowControl/>
              <w:numPr>
                <w:ilvl w:val="3"/>
                <w:numId w:val="45"/>
              </w:numPr>
              <w:wordWrap/>
              <w:autoSpaceDE/>
              <w:snapToGrid w:val="0"/>
              <w:spacing w:after="0"/>
              <w:contextualSpacing/>
              <w:rPr>
                <w:rFonts w:eastAsia="맑은 고딕"/>
                <w:lang w:val="en-GB" w:eastAsia="x-none"/>
              </w:rPr>
            </w:pPr>
            <w:r w:rsidRPr="008F6019">
              <w:rPr>
                <w:rFonts w:eastAsia="맑은 고딕"/>
                <w:highlight w:val="darkYellow"/>
                <w:lang w:val="en-GB" w:eastAsia="x-none"/>
              </w:rPr>
              <w:t>Working Assumption</w:t>
            </w:r>
            <w:r w:rsidRPr="008F6019">
              <w:rPr>
                <w:rFonts w:eastAsia="맑은 고딕"/>
                <w:lang w:val="en-GB" w:eastAsia="x-none"/>
              </w:rPr>
              <w:t>: Select between M=1 and M&gt;=1</w:t>
            </w:r>
          </w:p>
          <w:p w14:paraId="52EFDB07"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 xml:space="preserve">The source reference signal(s) in N TCIs provide a reference for determining common UL TX spatial filter(s) at least for dynamic-grant/configured-grant based PUSCH, all or subset of dedicated PUCCH resources in a CC, </w:t>
            </w:r>
          </w:p>
          <w:p w14:paraId="56B28797" w14:textId="77777777" w:rsidR="008F6019" w:rsidRPr="008F6019" w:rsidRDefault="008F6019" w:rsidP="008F6019">
            <w:pPr>
              <w:widowControl/>
              <w:numPr>
                <w:ilvl w:val="3"/>
                <w:numId w:val="45"/>
              </w:numPr>
              <w:wordWrap/>
              <w:autoSpaceDE/>
              <w:snapToGrid w:val="0"/>
              <w:spacing w:after="0"/>
              <w:contextualSpacing/>
              <w:rPr>
                <w:rFonts w:eastAsia="맑은 고딕"/>
                <w:lang w:val="en-GB" w:eastAsia="x-none"/>
              </w:rPr>
            </w:pPr>
            <w:r w:rsidRPr="008F6019">
              <w:rPr>
                <w:rFonts w:eastAsia="맑은 고딕"/>
                <w:lang w:val="en-GB" w:eastAsia="x-none"/>
              </w:rPr>
              <w:t>Optionally, this UL TX spatial filter can also apply to all SRS resources in resource set(s) configured for antenna switching/codebook-based/non-codebook-based UL transmissions</w:t>
            </w:r>
          </w:p>
          <w:p w14:paraId="1A0882DA" w14:textId="77777777" w:rsidR="008F6019" w:rsidRPr="008F6019" w:rsidRDefault="008F6019" w:rsidP="008F6019">
            <w:pPr>
              <w:widowControl/>
              <w:numPr>
                <w:ilvl w:val="3"/>
                <w:numId w:val="45"/>
              </w:numPr>
              <w:wordWrap/>
              <w:autoSpaceDE/>
              <w:snapToGrid w:val="0"/>
              <w:spacing w:after="0"/>
              <w:contextualSpacing/>
              <w:rPr>
                <w:rFonts w:eastAsia="맑은 고딕"/>
                <w:lang w:val="en-GB" w:eastAsia="x-none"/>
              </w:rPr>
            </w:pPr>
            <w:r w:rsidRPr="008F6019">
              <w:rPr>
                <w:rFonts w:eastAsia="맑은 고딕"/>
                <w:lang w:val="en-GB" w:eastAsia="x-none"/>
              </w:rPr>
              <w:t xml:space="preserve">FFS: </w:t>
            </w:r>
            <w:r w:rsidRPr="008F6019">
              <w:rPr>
                <w:rFonts w:eastAsia="맑은 고딕"/>
                <w:lang w:val="en-GB"/>
              </w:rPr>
              <w:t>A</w:t>
            </w:r>
            <w:r w:rsidRPr="008F6019">
              <w:rPr>
                <w:rFonts w:eastAsia="맑은 고딕"/>
                <w:lang w:val="en-GB" w:eastAsia="x-none"/>
              </w:rPr>
              <w:t>pplicability of this UL TX spatial filter to SRS configured for beam management (BM)</w:t>
            </w:r>
          </w:p>
          <w:p w14:paraId="53909440" w14:textId="77777777" w:rsidR="008F6019" w:rsidRPr="008F6019" w:rsidRDefault="008F6019" w:rsidP="008F6019">
            <w:pPr>
              <w:widowControl/>
              <w:numPr>
                <w:ilvl w:val="3"/>
                <w:numId w:val="45"/>
              </w:numPr>
              <w:wordWrap/>
              <w:autoSpaceDE/>
              <w:snapToGrid w:val="0"/>
              <w:spacing w:after="0"/>
              <w:contextualSpacing/>
              <w:rPr>
                <w:rFonts w:eastAsia="맑은 고딕"/>
                <w:lang w:val="en-GB" w:eastAsia="x-none"/>
              </w:rPr>
            </w:pPr>
            <w:r w:rsidRPr="008F6019">
              <w:rPr>
                <w:rFonts w:eastAsia="맑은 고딕"/>
                <w:lang w:val="en-GB" w:eastAsia="x-none"/>
              </w:rPr>
              <w:t>FFS: PUSCH port determination based on the TCI, e.g., to be mapped with SRS ports analogous to Rel.15/16</w:t>
            </w:r>
          </w:p>
          <w:p w14:paraId="6C9437C9" w14:textId="77777777" w:rsidR="008F6019" w:rsidRPr="008F6019" w:rsidRDefault="008F6019" w:rsidP="008F6019">
            <w:pPr>
              <w:widowControl/>
              <w:numPr>
                <w:ilvl w:val="3"/>
                <w:numId w:val="45"/>
              </w:numPr>
              <w:wordWrap/>
              <w:autoSpaceDE/>
              <w:snapToGrid w:val="0"/>
              <w:spacing w:after="0"/>
              <w:contextualSpacing/>
              <w:rPr>
                <w:rFonts w:eastAsia="맑은 고딕"/>
                <w:lang w:val="en-GB" w:eastAsia="x-none"/>
              </w:rPr>
            </w:pPr>
            <w:r w:rsidRPr="008F6019">
              <w:rPr>
                <w:rFonts w:eastAsia="맑은 고딕"/>
                <w:highlight w:val="darkYellow"/>
                <w:lang w:val="en-GB" w:eastAsia="x-none"/>
              </w:rPr>
              <w:lastRenderedPageBreak/>
              <w:t>Working Assumption</w:t>
            </w:r>
            <w:r w:rsidRPr="008F6019">
              <w:rPr>
                <w:rFonts w:eastAsia="맑은 고딕"/>
                <w:lang w:val="en-GB" w:eastAsia="x-none"/>
              </w:rPr>
              <w:t>: Select between N=1 and N&gt;=1</w:t>
            </w:r>
          </w:p>
          <w:p w14:paraId="0D2D0060"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 xml:space="preserve">FFS: extension to common QCL information applied to only some of the CORESETs or PUCCH resources in a CC, e.g. for mTRP </w:t>
            </w:r>
          </w:p>
          <w:p w14:paraId="12741B26"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 xml:space="preserve">FFS: When used for the purpose of joint beam indication for UL and DL, whether a joint TCI pool for DL and UL dedicated for the purpose is used, or the same TCI pool as that used for the purpose of separate DL/UL beam indication is used </w:t>
            </w:r>
          </w:p>
          <w:p w14:paraId="0B424418"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Note: The resulting beam indication directly refers to the associated source RS(s)</w:t>
            </w:r>
          </w:p>
          <w:p w14:paraId="083B048B"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FFS (RAN1#103-e): Details on extension to intra- and inter-band CA</w:t>
            </w:r>
          </w:p>
          <w:p w14:paraId="5B2A0855"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 xml:space="preserve">FFS (RAN1#103-e): The supported number of active TCI states considering factors such as multi-TRP and issue 6 </w:t>
            </w:r>
          </w:p>
          <w:p w14:paraId="768E9BC9"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FFS (RAN1#103-e): Applicable QCL types, and co-existence with DL TCI and spatial relation indication in Rel.15/16</w:t>
            </w:r>
          </w:p>
          <w:p w14:paraId="57FB7856" w14:textId="77777777" w:rsidR="008F6019" w:rsidRPr="008F6019" w:rsidRDefault="008F6019" w:rsidP="008F6019">
            <w:pPr>
              <w:widowControl/>
              <w:numPr>
                <w:ilvl w:val="1"/>
                <w:numId w:val="45"/>
              </w:numPr>
              <w:wordWrap/>
              <w:autoSpaceDE/>
              <w:snapToGrid w:val="0"/>
              <w:spacing w:after="0"/>
              <w:contextualSpacing/>
              <w:rPr>
                <w:rFonts w:eastAsia="맑은 고딕"/>
                <w:lang w:val="en-GB" w:eastAsia="x-none"/>
              </w:rPr>
            </w:pPr>
            <w:r w:rsidRPr="008F6019">
              <w:rPr>
                <w:rFonts w:eastAsia="맑은 고딕"/>
                <w:lang w:val="en-GB" w:eastAsia="x-none"/>
              </w:rPr>
              <w:t>In RAN1#103-e, investigate, for the purpose of down selection, the following alternatives for accommodating the case of separate beam indication for UL and DL</w:t>
            </w:r>
          </w:p>
          <w:p w14:paraId="65446111"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 xml:space="preserve">Alt1. Utilize the joint TCI </w:t>
            </w:r>
            <w:r w:rsidRPr="008F6019">
              <w:rPr>
                <w:rFonts w:eastAsia="맑은 고딕"/>
                <w:lang w:val="en-GB" w:eastAsia="zh-CN"/>
              </w:rPr>
              <w:t>to include references for both DL and UL beams</w:t>
            </w:r>
          </w:p>
          <w:p w14:paraId="0B4CC39D"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Alt2. Utilize two separate TCI states, one for DL and one for UL. The TCI state for the DL is the same as agreed in 1a. The TCI state for the UL can be newly introduced.</w:t>
            </w:r>
          </w:p>
          <w:p w14:paraId="1AF909DF" w14:textId="77777777" w:rsidR="008F6019" w:rsidRPr="008F6019" w:rsidRDefault="008F6019" w:rsidP="008F6019">
            <w:pPr>
              <w:widowControl/>
              <w:numPr>
                <w:ilvl w:val="3"/>
                <w:numId w:val="45"/>
              </w:numPr>
              <w:wordWrap/>
              <w:autoSpaceDE/>
              <w:snapToGrid w:val="0"/>
              <w:spacing w:after="0"/>
              <w:contextualSpacing/>
              <w:rPr>
                <w:rFonts w:eastAsia="맑은 고딕"/>
                <w:lang w:val="en-GB" w:eastAsia="x-none"/>
              </w:rPr>
            </w:pPr>
            <w:r w:rsidRPr="008F6019">
              <w:rPr>
                <w:rFonts w:eastAsia="맑은 고딕"/>
                <w:lang w:val="en-GB" w:eastAsia="x-none"/>
              </w:rPr>
              <w:t>Alt 2-1: The UL TCI state is taken from the same pool of TCI states as the DL TCI state</w:t>
            </w:r>
          </w:p>
          <w:p w14:paraId="5EFC6D74" w14:textId="77777777" w:rsidR="008F6019" w:rsidRPr="008F6019" w:rsidRDefault="008F6019" w:rsidP="008F6019">
            <w:pPr>
              <w:widowControl/>
              <w:numPr>
                <w:ilvl w:val="3"/>
                <w:numId w:val="45"/>
              </w:numPr>
              <w:wordWrap/>
              <w:autoSpaceDE/>
              <w:snapToGrid w:val="0"/>
              <w:spacing w:after="0"/>
              <w:contextualSpacing/>
              <w:rPr>
                <w:rFonts w:eastAsia="맑은 고딕"/>
                <w:lang w:val="en-GB" w:eastAsia="x-none"/>
              </w:rPr>
            </w:pPr>
            <w:r w:rsidRPr="008F6019">
              <w:rPr>
                <w:rFonts w:eastAsia="맑은 고딕"/>
                <w:lang w:val="en-GB" w:eastAsia="x-none"/>
              </w:rPr>
              <w:t>Alt 2-2: The UL TCI state is taken from another pool of TCI states than the DL TCI state</w:t>
            </w:r>
          </w:p>
          <w:p w14:paraId="14FFD2E2"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Note: The resulting beam indication directly refers to the associated source RS(s)</w:t>
            </w:r>
          </w:p>
          <w:p w14:paraId="3549F67A"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FFS (RAN1#103-e): Details on extension to intra- and inter-band CA</w:t>
            </w:r>
          </w:p>
          <w:p w14:paraId="71818002"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 xml:space="preserve">Note: This may be related to issue 5 as well as </w:t>
            </w:r>
            <w:r w:rsidRPr="008F6019">
              <w:rPr>
                <w:rFonts w:eastAsia="맑은 고딕"/>
                <w:lang w:val="en-GB" w:eastAsia="zh-CN"/>
              </w:rPr>
              <w:t>other reasons for different TCIs such as network flexibility/scheduling</w:t>
            </w:r>
          </w:p>
          <w:p w14:paraId="1018B6D4" w14:textId="77777777" w:rsidR="008F6019" w:rsidRPr="008F6019" w:rsidRDefault="008F6019" w:rsidP="008F6019">
            <w:pPr>
              <w:widowControl/>
              <w:numPr>
                <w:ilvl w:val="1"/>
                <w:numId w:val="45"/>
              </w:numPr>
              <w:wordWrap/>
              <w:autoSpaceDE/>
              <w:snapToGrid w:val="0"/>
              <w:spacing w:after="0"/>
              <w:contextualSpacing/>
              <w:rPr>
                <w:rFonts w:eastAsia="맑은 고딕"/>
                <w:lang w:val="en-GB" w:eastAsia="x-none"/>
              </w:rPr>
            </w:pPr>
            <w:r w:rsidRPr="008F6019">
              <w:rPr>
                <w:rFonts w:eastAsia="맑은 고딕"/>
                <w:lang w:val="en-GB" w:eastAsia="x-none"/>
              </w:rPr>
              <w:t>Support the use of SSB/CSI-RS for BM and/or SRS for BM as source RS to determine a UL TX spatial filter in the unified TCI framework</w:t>
            </w:r>
          </w:p>
          <w:p w14:paraId="1F2A9E49"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Whether the UL TX spatial filter corresponds to UL TCI (separate from DL TCI) depends on the outcome of 1b) above</w:t>
            </w:r>
          </w:p>
          <w:p w14:paraId="410723FF"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FFS: Support the use of non-BM CSI-RS and/or non-BM SRS in addition</w:t>
            </w:r>
          </w:p>
          <w:p w14:paraId="49FCC06F" w14:textId="77777777" w:rsidR="008F6019" w:rsidRPr="008F6019" w:rsidRDefault="008F6019" w:rsidP="008F6019">
            <w:pPr>
              <w:widowControl/>
              <w:numPr>
                <w:ilvl w:val="1"/>
                <w:numId w:val="45"/>
              </w:numPr>
              <w:wordWrap/>
              <w:autoSpaceDE/>
              <w:snapToGrid w:val="0"/>
              <w:spacing w:after="0"/>
              <w:contextualSpacing/>
              <w:rPr>
                <w:rFonts w:eastAsia="맑은 고딕"/>
                <w:lang w:val="en-GB" w:eastAsia="x-none"/>
              </w:rPr>
            </w:pPr>
            <w:r w:rsidRPr="008F6019">
              <w:rPr>
                <w:rFonts w:eastAsia="맑은 고딕"/>
                <w:lang w:val="en-GB" w:eastAsia="x-none"/>
              </w:rPr>
              <w:t>In RAN1#103-e, decide if SRS for BM can be configured as a source RS to represent a DL RX spatial filter in the unified TCI framework</w:t>
            </w:r>
          </w:p>
          <w:p w14:paraId="4A158A9C" w14:textId="77777777" w:rsidR="005F2073" w:rsidRPr="005F2073" w:rsidRDefault="008F6019" w:rsidP="005F2073">
            <w:pPr>
              <w:widowControl/>
              <w:numPr>
                <w:ilvl w:val="1"/>
                <w:numId w:val="45"/>
              </w:numPr>
              <w:wordWrap/>
              <w:autoSpaceDE/>
              <w:snapToGrid w:val="0"/>
              <w:spacing w:after="0"/>
              <w:contextualSpacing/>
              <w:rPr>
                <w:snapToGrid w:val="0"/>
                <w:sz w:val="22"/>
              </w:rPr>
            </w:pPr>
            <w:r w:rsidRPr="008F6019">
              <w:rPr>
                <w:rFonts w:eastAsia="맑은 고딕"/>
                <w:lang w:val="en-GB" w:eastAsia="x-none"/>
              </w:rPr>
              <w:t>In RAN1#103-e, decide/finalize all other parameters included in or concurrent with (but not included in) the TCI, e.g. UL-PC-related parameters (involving P0/alpha, PL RS, and/or closed loop index)</w:t>
            </w:r>
            <w:r w:rsidR="005F2073">
              <w:rPr>
                <w:rFonts w:eastAsia="맑은 고딕"/>
                <w:lang w:val="en-GB" w:eastAsia="x-none"/>
              </w:rPr>
              <w:t>, UL-timing-related parameters </w:t>
            </w:r>
          </w:p>
          <w:p w14:paraId="41FA6A01" w14:textId="590258CD" w:rsidR="008F6019" w:rsidRDefault="008F6019" w:rsidP="005F2073">
            <w:pPr>
              <w:widowControl/>
              <w:numPr>
                <w:ilvl w:val="1"/>
                <w:numId w:val="45"/>
              </w:numPr>
              <w:wordWrap/>
              <w:autoSpaceDE/>
              <w:snapToGrid w:val="0"/>
              <w:spacing w:after="0"/>
              <w:contextualSpacing/>
              <w:rPr>
                <w:snapToGrid w:val="0"/>
                <w:sz w:val="22"/>
              </w:rPr>
            </w:pPr>
            <w:r w:rsidRPr="008F6019">
              <w:rPr>
                <w:rFonts w:eastAsia="맑은 고딕"/>
                <w:lang w:val="en-GB" w:eastAsia="x-none"/>
              </w:rPr>
              <w:t>In RAN1#103-e, identify issues pertaining to alignment between DL and UL default beam assumptions using the unified TCI framework</w:t>
            </w:r>
          </w:p>
        </w:tc>
      </w:tr>
    </w:tbl>
    <w:p w14:paraId="70E658E1" w14:textId="78488D11" w:rsidR="00542578" w:rsidRDefault="00792A74" w:rsidP="00793343">
      <w:pPr>
        <w:pStyle w:val="LGTdoc1"/>
        <w:snapToGrid/>
        <w:spacing w:beforeLines="0" w:before="100" w:beforeAutospacing="1" w:line="360" w:lineRule="auto"/>
        <w:ind w:firstLineChars="133" w:firstLine="293"/>
        <w:contextualSpacing/>
        <w:rPr>
          <w:b w:val="0"/>
          <w:sz w:val="22"/>
          <w:lang w:val="en-US"/>
        </w:rPr>
      </w:pPr>
      <w:r>
        <w:rPr>
          <w:rFonts w:hint="eastAsia"/>
          <w:b w:val="0"/>
          <w:sz w:val="22"/>
          <w:lang w:val="en-US"/>
        </w:rPr>
        <w:lastRenderedPageBreak/>
        <w:t>On the</w:t>
      </w:r>
      <w:r>
        <w:rPr>
          <w:b w:val="0"/>
          <w:sz w:val="22"/>
          <w:lang w:val="en-US"/>
        </w:rPr>
        <w:t xml:space="preserve"> M and N values of</w:t>
      </w:r>
      <w:r>
        <w:rPr>
          <w:rFonts w:hint="eastAsia"/>
          <w:b w:val="0"/>
          <w:sz w:val="22"/>
          <w:lang w:val="en-US"/>
        </w:rPr>
        <w:t xml:space="preserve"> </w:t>
      </w:r>
      <w:r>
        <w:rPr>
          <w:b w:val="0"/>
          <w:sz w:val="22"/>
          <w:lang w:val="en-US"/>
        </w:rPr>
        <w:t>issue</w:t>
      </w:r>
      <w:r>
        <w:rPr>
          <w:rFonts w:hint="eastAsia"/>
          <w:b w:val="0"/>
          <w:sz w:val="22"/>
          <w:lang w:val="en-US"/>
        </w:rPr>
        <w:t xml:space="preserve"> 1a, </w:t>
      </w:r>
      <w:r>
        <w:rPr>
          <w:b w:val="0"/>
          <w:sz w:val="22"/>
          <w:lang w:val="en-US"/>
        </w:rPr>
        <w:t>it needs to be noted that multiple TCI indication for a PDSCH is supported for S-DCI MTRP in Rel-16, and similar extension regarding spatial relation RS indication is expected for PUSCH/PUCCH in Rel-17 NR MIMO objective 2a. For M-DCI MTRP, two CORESET pools can be configured where ea</w:t>
      </w:r>
      <w:r w:rsidR="00542578">
        <w:rPr>
          <w:b w:val="0"/>
          <w:sz w:val="22"/>
          <w:lang w:val="en-US"/>
        </w:rPr>
        <w:t>ch pool can correspond to a TRP</w:t>
      </w:r>
      <w:r>
        <w:rPr>
          <w:b w:val="0"/>
          <w:sz w:val="22"/>
          <w:lang w:val="en-US"/>
        </w:rPr>
        <w:t xml:space="preserve"> at gNB side.</w:t>
      </w:r>
      <w:r w:rsidR="00542578">
        <w:rPr>
          <w:b w:val="0"/>
          <w:sz w:val="22"/>
          <w:lang w:val="en-US"/>
        </w:rPr>
        <w:t xml:space="preserve"> For PUCCH in Rel-16, simultaneous update of spatial relation </w:t>
      </w:r>
      <w:r w:rsidR="00275286">
        <w:rPr>
          <w:b w:val="0"/>
          <w:sz w:val="22"/>
          <w:lang w:val="en-US"/>
        </w:rPr>
        <w:t>per</w:t>
      </w:r>
      <w:r w:rsidR="00542578">
        <w:rPr>
          <w:b w:val="0"/>
          <w:sz w:val="22"/>
          <w:lang w:val="en-US"/>
        </w:rPr>
        <w:t xml:space="preserve"> PUCCH </w:t>
      </w:r>
      <w:r w:rsidR="00275286">
        <w:rPr>
          <w:b w:val="0"/>
          <w:sz w:val="22"/>
          <w:lang w:val="en-US"/>
        </w:rPr>
        <w:t xml:space="preserve">resource group </w:t>
      </w:r>
      <w:r w:rsidR="00542578">
        <w:rPr>
          <w:b w:val="0"/>
          <w:sz w:val="22"/>
          <w:lang w:val="en-US"/>
        </w:rPr>
        <w:t>was introduced, and multiple PUCCH resource groups can be configured by gNB, where each PUCCH resource</w:t>
      </w:r>
      <w:r w:rsidR="00275286">
        <w:rPr>
          <w:b w:val="0"/>
          <w:sz w:val="22"/>
          <w:lang w:val="en-US"/>
        </w:rPr>
        <w:t xml:space="preserve"> group</w:t>
      </w:r>
      <w:r w:rsidR="00542578">
        <w:rPr>
          <w:b w:val="0"/>
          <w:sz w:val="22"/>
          <w:lang w:val="en-US"/>
        </w:rPr>
        <w:t xml:space="preserve"> c</w:t>
      </w:r>
      <w:r w:rsidR="001C1490">
        <w:rPr>
          <w:b w:val="0"/>
          <w:sz w:val="22"/>
          <w:lang w:val="en-US"/>
        </w:rPr>
        <w:t xml:space="preserve">an </w:t>
      </w:r>
      <w:r w:rsidR="00542578">
        <w:rPr>
          <w:b w:val="0"/>
          <w:sz w:val="22"/>
          <w:lang w:val="en-US"/>
        </w:rPr>
        <w:t>be associated to each UE Tx panel so that gNB can update spatial relation for a</w:t>
      </w:r>
      <w:r w:rsidR="001C1490">
        <w:rPr>
          <w:b w:val="0"/>
          <w:sz w:val="22"/>
          <w:lang w:val="en-US"/>
        </w:rPr>
        <w:t xml:space="preserve"> specific</w:t>
      </w:r>
      <w:r w:rsidR="00542578">
        <w:rPr>
          <w:b w:val="0"/>
          <w:sz w:val="22"/>
          <w:lang w:val="en-US"/>
        </w:rPr>
        <w:t xml:space="preserve"> </w:t>
      </w:r>
      <w:r w:rsidR="001C1490">
        <w:rPr>
          <w:b w:val="0"/>
          <w:sz w:val="22"/>
          <w:lang w:val="en-US"/>
        </w:rPr>
        <w:t xml:space="preserve">pair of </w:t>
      </w:r>
      <w:r w:rsidR="00542578">
        <w:rPr>
          <w:b w:val="0"/>
          <w:sz w:val="22"/>
          <w:lang w:val="en-US"/>
        </w:rPr>
        <w:t>TRP</w:t>
      </w:r>
      <w:r w:rsidR="001C1490">
        <w:rPr>
          <w:b w:val="0"/>
          <w:sz w:val="22"/>
          <w:lang w:val="en-US"/>
        </w:rPr>
        <w:t xml:space="preserve"> and </w:t>
      </w:r>
      <w:r w:rsidR="00542578">
        <w:rPr>
          <w:b w:val="0"/>
          <w:sz w:val="22"/>
          <w:lang w:val="en-US"/>
        </w:rPr>
        <w:t xml:space="preserve">UE panel by updating spatial relation of </w:t>
      </w:r>
      <w:r w:rsidR="001C1490">
        <w:rPr>
          <w:b w:val="0"/>
          <w:sz w:val="22"/>
          <w:lang w:val="en-US"/>
        </w:rPr>
        <w:t>the corresponding PUCCH resource group.</w:t>
      </w:r>
    </w:p>
    <w:p w14:paraId="742E9754" w14:textId="77777777" w:rsidR="00316666" w:rsidRDefault="00316666" w:rsidP="004A24AA">
      <w:pPr>
        <w:pStyle w:val="LGTdoc1"/>
        <w:snapToGrid/>
        <w:spacing w:beforeLines="0" w:before="100" w:beforeAutospacing="1" w:line="360" w:lineRule="auto"/>
        <w:ind w:firstLineChars="133" w:firstLine="293"/>
        <w:contextualSpacing/>
        <w:rPr>
          <w:b w:val="0"/>
          <w:sz w:val="22"/>
          <w:lang w:val="en-US"/>
        </w:rPr>
      </w:pPr>
    </w:p>
    <w:p w14:paraId="0E79A941" w14:textId="4ED03DFD" w:rsidR="00542578" w:rsidRDefault="00542578" w:rsidP="00542578">
      <w:pPr>
        <w:pStyle w:val="LGTdoc1"/>
        <w:snapToGrid/>
        <w:spacing w:beforeLines="0" w:before="100" w:beforeAutospacing="1" w:line="360" w:lineRule="auto"/>
        <w:contextualSpacing/>
        <w:rPr>
          <w:sz w:val="22"/>
        </w:rPr>
      </w:pPr>
      <w:r w:rsidRPr="001E20EE">
        <w:rPr>
          <w:sz w:val="22"/>
        </w:rPr>
        <w:t>Observation</w:t>
      </w:r>
      <w:r>
        <w:rPr>
          <w:sz w:val="22"/>
        </w:rPr>
        <w:t xml:space="preserve"> #1</w:t>
      </w:r>
      <w:r w:rsidRPr="001E20EE">
        <w:rPr>
          <w:sz w:val="22"/>
        </w:rPr>
        <w:t xml:space="preserve">. </w:t>
      </w:r>
      <w:r>
        <w:rPr>
          <w:sz w:val="22"/>
        </w:rPr>
        <w:t xml:space="preserve">For </w:t>
      </w:r>
      <w:r w:rsidR="001C1490">
        <w:rPr>
          <w:sz w:val="22"/>
        </w:rPr>
        <w:t>MTRP/MPUE operation, Rel-16 spec provides grouping of CORESETs and PUCCH resources for each pair of TRP and UE panel</w:t>
      </w:r>
      <w:r w:rsidRPr="00BB5093">
        <w:rPr>
          <w:sz w:val="22"/>
        </w:rPr>
        <w:t>.</w:t>
      </w:r>
      <w:r w:rsidR="001C1490">
        <w:rPr>
          <w:sz w:val="22"/>
        </w:rPr>
        <w:t xml:space="preserve"> For UL, spatial relation can be updated per PUCCH resource group.</w:t>
      </w:r>
    </w:p>
    <w:p w14:paraId="538741EC" w14:textId="77777777" w:rsidR="00793343" w:rsidRDefault="00793343" w:rsidP="004A24AA">
      <w:pPr>
        <w:pStyle w:val="LGTdoc1"/>
        <w:snapToGrid/>
        <w:spacing w:beforeLines="0" w:before="100" w:beforeAutospacing="1" w:line="360" w:lineRule="auto"/>
        <w:ind w:firstLineChars="133" w:firstLine="293"/>
        <w:contextualSpacing/>
        <w:rPr>
          <w:b w:val="0"/>
          <w:sz w:val="22"/>
        </w:rPr>
      </w:pPr>
    </w:p>
    <w:p w14:paraId="43CADD75" w14:textId="56CB2F11" w:rsidR="00542578" w:rsidRDefault="001C1490" w:rsidP="004A24AA">
      <w:pPr>
        <w:pStyle w:val="LGTdoc1"/>
        <w:snapToGrid/>
        <w:spacing w:beforeLines="0" w:before="100" w:beforeAutospacing="1" w:line="360" w:lineRule="auto"/>
        <w:ind w:firstLineChars="133" w:firstLine="293"/>
        <w:contextualSpacing/>
        <w:rPr>
          <w:b w:val="0"/>
          <w:sz w:val="22"/>
        </w:rPr>
      </w:pPr>
      <w:r>
        <w:rPr>
          <w:rFonts w:hint="eastAsia"/>
          <w:b w:val="0"/>
          <w:sz w:val="22"/>
        </w:rPr>
        <w:t>Considering the MTRP/MPUE</w:t>
      </w:r>
      <w:r>
        <w:rPr>
          <w:b w:val="0"/>
          <w:sz w:val="22"/>
        </w:rPr>
        <w:t xml:space="preserve"> scenario, updating a reference RS for a specific TRP-panel pair should be supported. </w:t>
      </w:r>
      <w:r w:rsidR="00563F4A">
        <w:rPr>
          <w:b w:val="0"/>
          <w:sz w:val="22"/>
        </w:rPr>
        <w:t>Therefore, we propose the following.</w:t>
      </w:r>
    </w:p>
    <w:p w14:paraId="60EFC030" w14:textId="77777777" w:rsidR="006E174E" w:rsidRDefault="006E174E" w:rsidP="004A24AA">
      <w:pPr>
        <w:pStyle w:val="LGTdoc1"/>
        <w:snapToGrid/>
        <w:spacing w:beforeLines="0" w:before="100" w:beforeAutospacing="1" w:line="360" w:lineRule="auto"/>
        <w:ind w:firstLineChars="133" w:firstLine="293"/>
        <w:contextualSpacing/>
        <w:rPr>
          <w:b w:val="0"/>
          <w:sz w:val="22"/>
        </w:rPr>
      </w:pPr>
    </w:p>
    <w:p w14:paraId="589EA0ED" w14:textId="1DB375EE" w:rsidR="00542578" w:rsidRPr="003C5A11" w:rsidRDefault="006E174E" w:rsidP="003C5A11">
      <w:pPr>
        <w:pStyle w:val="LGTdoc1"/>
        <w:snapToGrid/>
        <w:spacing w:beforeLines="0" w:before="100" w:beforeAutospacing="1" w:line="360" w:lineRule="auto"/>
        <w:contextualSpacing/>
        <w:rPr>
          <w:b w:val="0"/>
          <w:sz w:val="22"/>
        </w:rPr>
      </w:pPr>
      <w:r>
        <w:rPr>
          <w:sz w:val="22"/>
        </w:rPr>
        <w:t>Proposal #1</w:t>
      </w:r>
      <w:r w:rsidRPr="001E20EE">
        <w:rPr>
          <w:sz w:val="22"/>
        </w:rPr>
        <w:t xml:space="preserve">. </w:t>
      </w:r>
      <w:r w:rsidR="00563F4A">
        <w:rPr>
          <w:sz w:val="22"/>
        </w:rPr>
        <w:t>U</w:t>
      </w:r>
      <w:r>
        <w:rPr>
          <w:bCs/>
          <w:sz w:val="22"/>
        </w:rPr>
        <w:t>pdating a TCI for a specific pair of TRP and UE panel should be supported, i.e. an updated TCI is applied to a subset of CORESETs and</w:t>
      </w:r>
      <w:r w:rsidR="00563F4A">
        <w:rPr>
          <w:bCs/>
          <w:sz w:val="22"/>
        </w:rPr>
        <w:t>/or</w:t>
      </w:r>
      <w:r>
        <w:rPr>
          <w:bCs/>
          <w:sz w:val="22"/>
        </w:rPr>
        <w:t xml:space="preserve"> </w:t>
      </w:r>
      <w:r w:rsidR="00563F4A">
        <w:rPr>
          <w:bCs/>
          <w:sz w:val="22"/>
        </w:rPr>
        <w:t xml:space="preserve">a subset of </w:t>
      </w:r>
      <w:r>
        <w:rPr>
          <w:bCs/>
          <w:sz w:val="22"/>
        </w:rPr>
        <w:t xml:space="preserve">PUCCH resources only. </w:t>
      </w:r>
    </w:p>
    <w:p w14:paraId="3D8020B5" w14:textId="71A1B71B" w:rsidR="00BB5093" w:rsidRDefault="00563F4A" w:rsidP="00315917">
      <w:pPr>
        <w:pStyle w:val="LGTdoc1"/>
        <w:snapToGrid/>
        <w:spacing w:beforeLines="0" w:before="100" w:beforeAutospacing="1" w:line="360" w:lineRule="auto"/>
        <w:ind w:firstLineChars="133" w:firstLine="293"/>
        <w:contextualSpacing/>
        <w:rPr>
          <w:b w:val="0"/>
          <w:sz w:val="22"/>
          <w:lang w:val="en-US"/>
        </w:rPr>
      </w:pPr>
      <w:r>
        <w:rPr>
          <w:b w:val="0"/>
          <w:sz w:val="22"/>
        </w:rPr>
        <w:lastRenderedPageBreak/>
        <w:t xml:space="preserve">For the case of joint TCI indication for DL and UL, association between CORESET groups and PUCCH resource groups is needed. </w:t>
      </w:r>
      <w:r>
        <w:rPr>
          <w:b w:val="0"/>
          <w:sz w:val="22"/>
          <w:lang w:val="en-US"/>
        </w:rPr>
        <w:t>T</w:t>
      </w:r>
      <w:r>
        <w:rPr>
          <w:rFonts w:hint="eastAsia"/>
          <w:b w:val="0"/>
          <w:sz w:val="22"/>
          <w:lang w:val="en-US"/>
        </w:rPr>
        <w:t>he association of CORESETs and PUCCH resources</w:t>
      </w:r>
      <w:r>
        <w:rPr>
          <w:b w:val="0"/>
          <w:sz w:val="22"/>
          <w:lang w:val="en-US"/>
        </w:rPr>
        <w:t xml:space="preserve"> can be determined by a certain rule or by gNB configuration. For this, it needs to be considered that the target channels/RSs of the joint TCI indication can include other channels/signals such as CSI-RS and SRS. The functionality of multi-CC beam update should also be taken into account. Considering above aspects, we </w:t>
      </w:r>
      <w:r w:rsidR="00547E6D">
        <w:rPr>
          <w:b w:val="0"/>
          <w:sz w:val="22"/>
          <w:lang w:val="en-US"/>
        </w:rPr>
        <w:t>suggest introducing RRC to configure a set of DL and UL channels/RSs that share a same DL RS for their QCL type-D RS or spatial relation RS. Target channel(s)/RS(s) can be configured</w:t>
      </w:r>
      <w:r w:rsidR="00275286">
        <w:rPr>
          <w:b w:val="0"/>
          <w:sz w:val="22"/>
          <w:lang w:val="en-US"/>
        </w:rPr>
        <w:t xml:space="preserve"> by gNB</w:t>
      </w:r>
      <w:r w:rsidR="00547E6D">
        <w:rPr>
          <w:b w:val="0"/>
          <w:sz w:val="22"/>
          <w:lang w:val="en-US"/>
        </w:rPr>
        <w:t xml:space="preserve"> to update the spatial domain Tx/Rx filter </w:t>
      </w:r>
      <w:r w:rsidR="00547E6D">
        <w:rPr>
          <w:rFonts w:hint="eastAsia"/>
          <w:b w:val="0"/>
          <w:sz w:val="22"/>
          <w:lang w:val="en-US"/>
        </w:rPr>
        <w:t xml:space="preserve">based on </w:t>
      </w:r>
      <w:r w:rsidR="00547E6D">
        <w:rPr>
          <w:b w:val="0"/>
          <w:sz w:val="22"/>
          <w:lang w:val="en-US"/>
        </w:rPr>
        <w:t>the single</w:t>
      </w:r>
      <w:r w:rsidR="00547E6D">
        <w:rPr>
          <w:rFonts w:hint="eastAsia"/>
          <w:b w:val="0"/>
          <w:sz w:val="22"/>
          <w:lang w:val="en-US"/>
        </w:rPr>
        <w:t xml:space="preserve"> </w:t>
      </w:r>
      <w:r w:rsidR="00547E6D">
        <w:rPr>
          <w:b w:val="0"/>
          <w:sz w:val="22"/>
          <w:lang w:val="en-US"/>
        </w:rPr>
        <w:t xml:space="preserve">DL RS. </w:t>
      </w:r>
      <w:r w:rsidR="00275286">
        <w:rPr>
          <w:b w:val="0"/>
          <w:sz w:val="22"/>
          <w:lang w:val="en-US"/>
        </w:rPr>
        <w:t>Analogous to multi-CC beam update mechanism, w</w:t>
      </w:r>
      <w:r w:rsidR="00547E6D">
        <w:rPr>
          <w:b w:val="0"/>
          <w:sz w:val="22"/>
          <w:lang w:val="en-US"/>
        </w:rPr>
        <w:t>hen a QCL type-D RS or spatial relation RS is updated for a specific DL/UL channel by using legacy beam indication signaling</w:t>
      </w:r>
      <w:r w:rsidR="00751D4C">
        <w:rPr>
          <w:b w:val="0"/>
          <w:sz w:val="22"/>
          <w:lang w:val="en-US"/>
        </w:rPr>
        <w:t xml:space="preserve"> or new signaling</w:t>
      </w:r>
      <w:r w:rsidR="00547E6D">
        <w:rPr>
          <w:b w:val="0"/>
          <w:sz w:val="22"/>
          <w:lang w:val="en-US"/>
        </w:rPr>
        <w:t>, the same RS is applied for other linked channels/signals, where this linkage for different DL/UL channels/RSs</w:t>
      </w:r>
      <w:r w:rsidR="00C43A8E">
        <w:rPr>
          <w:b w:val="0"/>
          <w:sz w:val="22"/>
          <w:lang w:val="en-US"/>
        </w:rPr>
        <w:t xml:space="preserve"> (with different usages)</w:t>
      </w:r>
      <w:r w:rsidR="00547E6D">
        <w:rPr>
          <w:b w:val="0"/>
          <w:sz w:val="22"/>
          <w:lang w:val="en-US"/>
        </w:rPr>
        <w:t xml:space="preserve"> is referred to as ‘beam linkage state’</w:t>
      </w:r>
      <w:r w:rsidR="00C43A8E">
        <w:rPr>
          <w:b w:val="0"/>
          <w:sz w:val="22"/>
          <w:lang w:val="en-US"/>
        </w:rPr>
        <w:t xml:space="preserve"> (BLS)</w:t>
      </w:r>
      <w:r w:rsidR="00547E6D">
        <w:rPr>
          <w:b w:val="0"/>
          <w:sz w:val="22"/>
          <w:lang w:val="en-US"/>
        </w:rPr>
        <w:t xml:space="preserve">. </w:t>
      </w:r>
      <w:r w:rsidR="00547E6D" w:rsidRPr="0029661F">
        <w:rPr>
          <w:b w:val="0"/>
          <w:sz w:val="22"/>
          <w:lang w:val="en-US"/>
        </w:rPr>
        <w:t xml:space="preserve">For example, </w:t>
      </w:r>
      <w:r w:rsidR="00547E6D">
        <w:rPr>
          <w:b w:val="0"/>
          <w:sz w:val="22"/>
          <w:lang w:val="en-US"/>
        </w:rPr>
        <w:t xml:space="preserve">through configuring a </w:t>
      </w:r>
      <w:r w:rsidR="00C43A8E">
        <w:rPr>
          <w:b w:val="0"/>
          <w:sz w:val="22"/>
          <w:lang w:val="en-US"/>
        </w:rPr>
        <w:t>BLS</w:t>
      </w:r>
      <w:r w:rsidR="00547E6D">
        <w:rPr>
          <w:b w:val="0"/>
          <w:sz w:val="22"/>
          <w:lang w:val="en-US"/>
        </w:rPr>
        <w:t xml:space="preserve"> to indicate a link between PDSCH QCL type-D RS and ACK/NACK PUCCH spatial relation, the ACK/NACK PUCCH spatial relation RS can automatically follow the QCL type-D RS of corresponding PDSCH. </w:t>
      </w:r>
      <w:r w:rsidR="00C43A8E">
        <w:rPr>
          <w:b w:val="0"/>
          <w:sz w:val="22"/>
          <w:lang w:val="en-US"/>
        </w:rPr>
        <w:t>Moreover, the target channels/RSs in BLS can be applied depending on the purposes or usages</w:t>
      </w:r>
      <w:r w:rsidR="00BE615F">
        <w:rPr>
          <w:b w:val="0"/>
          <w:sz w:val="22"/>
          <w:lang w:val="en-US"/>
        </w:rPr>
        <w:t xml:space="preserve"> (e.g. CSI-RS for CSI/BM/tracking, SRS for BM)</w:t>
      </w:r>
      <w:r w:rsidR="00C43A8E">
        <w:rPr>
          <w:b w:val="0"/>
          <w:sz w:val="22"/>
          <w:lang w:val="en-US"/>
        </w:rPr>
        <w:t>. In case of PUCCH</w:t>
      </w:r>
      <w:r w:rsidR="00BE615F">
        <w:rPr>
          <w:b w:val="0"/>
          <w:sz w:val="22"/>
          <w:lang w:val="en-US"/>
        </w:rPr>
        <w:t>, as another example</w:t>
      </w:r>
      <w:r w:rsidR="00C43A8E">
        <w:rPr>
          <w:b w:val="0"/>
          <w:sz w:val="22"/>
          <w:lang w:val="en-US"/>
        </w:rPr>
        <w:t xml:space="preserve">, </w:t>
      </w:r>
      <w:r w:rsidR="00BE615F">
        <w:rPr>
          <w:b w:val="0"/>
          <w:sz w:val="22"/>
          <w:lang w:val="en-US"/>
        </w:rPr>
        <w:t>it can be categorized by usage/format/whether dedicated or not.</w:t>
      </w:r>
      <w:r w:rsidR="00C43A8E">
        <w:rPr>
          <w:b w:val="0"/>
          <w:sz w:val="22"/>
          <w:lang w:val="en-US"/>
        </w:rPr>
        <w:t xml:space="preserve"> </w:t>
      </w:r>
      <w:r w:rsidR="00547E6D">
        <w:rPr>
          <w:b w:val="0"/>
          <w:sz w:val="22"/>
          <w:lang w:val="en-US"/>
        </w:rPr>
        <w:t xml:space="preserve">By </w:t>
      </w:r>
      <w:r w:rsidR="00751D4C">
        <w:rPr>
          <w:b w:val="0"/>
          <w:sz w:val="22"/>
          <w:lang w:val="en-US"/>
        </w:rPr>
        <w:t>this configuration</w:t>
      </w:r>
      <w:r w:rsidR="00547E6D">
        <w:rPr>
          <w:b w:val="0"/>
          <w:sz w:val="22"/>
          <w:lang w:val="en-US"/>
        </w:rPr>
        <w:t xml:space="preserve">, the higher flexibility for associating different DL and UL channels/RSs can be achieved. </w:t>
      </w:r>
      <w:r w:rsidR="00315917">
        <w:rPr>
          <w:b w:val="0"/>
          <w:sz w:val="22"/>
          <w:lang w:val="en-US"/>
        </w:rPr>
        <w:t>Another merit of this approach is that we can reuse legacy DL/UL beam indication signaling methods so that it can minimize specification impacts.</w:t>
      </w:r>
    </w:p>
    <w:p w14:paraId="2AC0D7E8" w14:textId="07B24939" w:rsidR="00BB5093" w:rsidRDefault="00BE615F" w:rsidP="00BE615F">
      <w:pPr>
        <w:pStyle w:val="LGTdoc1"/>
        <w:snapToGrid/>
        <w:spacing w:beforeLines="0" w:before="100" w:beforeAutospacing="1" w:line="360" w:lineRule="auto"/>
        <w:ind w:firstLineChars="133" w:firstLine="293"/>
        <w:contextualSpacing/>
        <w:rPr>
          <w:b w:val="0"/>
          <w:sz w:val="22"/>
          <w:lang w:val="en-US"/>
        </w:rPr>
      </w:pPr>
      <w:r>
        <w:rPr>
          <w:b w:val="0"/>
          <w:sz w:val="22"/>
          <w:lang w:val="en-US"/>
        </w:rPr>
        <w:t xml:space="preserve">This </w:t>
      </w:r>
      <w:r w:rsidR="00275286">
        <w:rPr>
          <w:b w:val="0"/>
          <w:sz w:val="22"/>
          <w:lang w:val="en-US"/>
        </w:rPr>
        <w:t>BLS</w:t>
      </w:r>
      <w:r>
        <w:rPr>
          <w:b w:val="0"/>
          <w:sz w:val="22"/>
          <w:lang w:val="en-US"/>
        </w:rPr>
        <w:t xml:space="preserve"> configuration can also be used for different channels/RSs across multiple CCs so that a common RS can be applied </w:t>
      </w:r>
      <w:r w:rsidR="00275286">
        <w:rPr>
          <w:b w:val="0"/>
          <w:sz w:val="22"/>
          <w:lang w:val="en-US"/>
        </w:rPr>
        <w:t xml:space="preserve">as </w:t>
      </w:r>
      <w:r>
        <w:rPr>
          <w:b w:val="0"/>
          <w:sz w:val="22"/>
          <w:lang w:val="en-US"/>
        </w:rPr>
        <w:t xml:space="preserve">QCL type-D RS and spatial relation RS for those linked DL/UL channels in multiple CCs. In Rel-16, </w:t>
      </w:r>
      <w:r>
        <w:rPr>
          <w:rFonts w:hint="eastAsia"/>
          <w:b w:val="0"/>
          <w:sz w:val="22"/>
          <w:lang w:val="en-US"/>
        </w:rPr>
        <w:t>simultaneous TCI states</w:t>
      </w:r>
      <w:r>
        <w:rPr>
          <w:b w:val="0"/>
          <w:sz w:val="22"/>
          <w:lang w:val="en-US"/>
        </w:rPr>
        <w:t xml:space="preserve"> / spatial relation activation across multiple CCs/BWPs via MAC-CE was introduced to operate </w:t>
      </w:r>
      <w:r w:rsidR="00275286">
        <w:rPr>
          <w:b w:val="0"/>
          <w:sz w:val="22"/>
          <w:lang w:val="en-US"/>
        </w:rPr>
        <w:t xml:space="preserve">on </w:t>
      </w:r>
      <w:r>
        <w:rPr>
          <w:b w:val="0"/>
          <w:sz w:val="22"/>
          <w:lang w:val="en-US"/>
        </w:rPr>
        <w:t>a common beam for the multi-CCs based on applicable CC list</w:t>
      </w:r>
      <w:r w:rsidR="00F6559F">
        <w:rPr>
          <w:b w:val="0"/>
          <w:sz w:val="22"/>
          <w:lang w:val="en-US"/>
        </w:rPr>
        <w:t xml:space="preserve"> configured by RRC</w:t>
      </w:r>
      <w:r>
        <w:rPr>
          <w:b w:val="0"/>
          <w:sz w:val="22"/>
          <w:lang w:val="en-US"/>
        </w:rPr>
        <w:t>. But, one limitation is that the target channels/RSs are limited to a single CORESET and a single SRS resource within a BWP so that gNB still needs to send multiple messages to update a beam for multiple CORESETs or multiple SRS resources.</w:t>
      </w:r>
    </w:p>
    <w:p w14:paraId="176F440A" w14:textId="77777777" w:rsidR="00315917" w:rsidRDefault="00315917" w:rsidP="00BE615F">
      <w:pPr>
        <w:pStyle w:val="LGTdoc1"/>
        <w:snapToGrid/>
        <w:spacing w:beforeLines="0" w:before="100" w:beforeAutospacing="1" w:line="360" w:lineRule="auto"/>
        <w:ind w:firstLineChars="133" w:firstLine="293"/>
        <w:contextualSpacing/>
        <w:rPr>
          <w:b w:val="0"/>
          <w:sz w:val="22"/>
          <w:lang w:val="en-US"/>
        </w:rPr>
      </w:pPr>
    </w:p>
    <w:p w14:paraId="52D67007" w14:textId="3D71F622" w:rsidR="00315917" w:rsidRDefault="00BB5093" w:rsidP="00390EBF">
      <w:pPr>
        <w:pStyle w:val="LGTdoc1"/>
        <w:snapToGrid/>
        <w:spacing w:beforeLines="0" w:before="100" w:beforeAutospacing="1" w:line="360" w:lineRule="auto"/>
        <w:contextualSpacing/>
        <w:rPr>
          <w:sz w:val="22"/>
        </w:rPr>
      </w:pPr>
      <w:r w:rsidRPr="001E20EE">
        <w:rPr>
          <w:sz w:val="22"/>
        </w:rPr>
        <w:t>Observation</w:t>
      </w:r>
      <w:r>
        <w:rPr>
          <w:sz w:val="22"/>
        </w:rPr>
        <w:t xml:space="preserve"> #2</w:t>
      </w:r>
      <w:r w:rsidRPr="001E20EE">
        <w:rPr>
          <w:sz w:val="22"/>
        </w:rPr>
        <w:t xml:space="preserve">. </w:t>
      </w:r>
      <w:r>
        <w:rPr>
          <w:sz w:val="22"/>
        </w:rPr>
        <w:t xml:space="preserve">On the feature of </w:t>
      </w:r>
      <w:r w:rsidR="00F6559F">
        <w:rPr>
          <w:sz w:val="22"/>
        </w:rPr>
        <w:t>Rel-16 multi-</w:t>
      </w:r>
      <w:r>
        <w:rPr>
          <w:sz w:val="22"/>
        </w:rPr>
        <w:t>CC simultaneous TCI state/spatial relation update, there are limitations on the applicable target channels/RSs.</w:t>
      </w:r>
    </w:p>
    <w:p w14:paraId="4E9B0E43" w14:textId="77777777" w:rsidR="00315917" w:rsidRPr="00315917" w:rsidRDefault="00315917" w:rsidP="00390EBF">
      <w:pPr>
        <w:pStyle w:val="LGTdoc1"/>
        <w:snapToGrid/>
        <w:spacing w:beforeLines="0" w:before="100" w:beforeAutospacing="1" w:line="360" w:lineRule="auto"/>
        <w:contextualSpacing/>
        <w:rPr>
          <w:sz w:val="22"/>
        </w:rPr>
      </w:pPr>
    </w:p>
    <w:p w14:paraId="57F5E0FC" w14:textId="158E4236" w:rsidR="009B2F06" w:rsidRDefault="00390EBF" w:rsidP="00A91A4E">
      <w:pPr>
        <w:pStyle w:val="LGTdoc1"/>
        <w:snapToGrid/>
        <w:spacing w:beforeLines="0" w:before="100" w:beforeAutospacing="1" w:line="360" w:lineRule="auto"/>
        <w:contextualSpacing/>
        <w:rPr>
          <w:sz w:val="22"/>
        </w:rPr>
      </w:pPr>
      <w:r w:rsidRPr="00390EBF">
        <w:rPr>
          <w:sz w:val="22"/>
        </w:rPr>
        <w:t>Proposal #</w:t>
      </w:r>
      <w:r w:rsidR="00046A16">
        <w:rPr>
          <w:sz w:val="22"/>
        </w:rPr>
        <w:t>2</w:t>
      </w:r>
      <w:r w:rsidRPr="00390EBF">
        <w:rPr>
          <w:sz w:val="22"/>
        </w:rPr>
        <w:t xml:space="preserve">. </w:t>
      </w:r>
      <w:r>
        <w:rPr>
          <w:rFonts w:hint="eastAsia"/>
          <w:sz w:val="22"/>
        </w:rPr>
        <w:t xml:space="preserve">Introduce </w:t>
      </w:r>
      <w:r>
        <w:rPr>
          <w:sz w:val="22"/>
        </w:rPr>
        <w:t xml:space="preserve">‘beam linkage state’ configured by RRC in which DL/UL channels/signals that share a common DL RS for QCL type-D RS and/or spatial relation RS are listed across one or multiple CCs. </w:t>
      </w:r>
      <w:r w:rsidR="00F6559F">
        <w:rPr>
          <w:sz w:val="22"/>
        </w:rPr>
        <w:t>If a</w:t>
      </w:r>
      <w:r>
        <w:rPr>
          <w:sz w:val="22"/>
        </w:rPr>
        <w:t xml:space="preserve"> QCL type-D RS or spatial relation RS is updated for one of the channels/RSs in the list by legacy beam indication method, the same RS is applied as QCL Type-D RS or spatial relation RS for other channels/RSs in the list.</w:t>
      </w:r>
    </w:p>
    <w:p w14:paraId="0D8ED8F4" w14:textId="77777777" w:rsidR="00B72DCE" w:rsidRDefault="00B72DCE" w:rsidP="00D5592A">
      <w:pPr>
        <w:pStyle w:val="LGTdoc1"/>
        <w:snapToGrid/>
        <w:spacing w:beforeLines="0" w:before="100" w:beforeAutospacing="1" w:line="360" w:lineRule="auto"/>
        <w:ind w:firstLineChars="133" w:firstLine="293"/>
        <w:contextualSpacing/>
        <w:rPr>
          <w:b w:val="0"/>
          <w:sz w:val="22"/>
          <w:lang w:val="en-US"/>
        </w:rPr>
      </w:pPr>
    </w:p>
    <w:p w14:paraId="71C6B64F" w14:textId="3C25B91F" w:rsidR="003802D6" w:rsidRDefault="00D5592A" w:rsidP="00D5592A">
      <w:pPr>
        <w:pStyle w:val="LGTdoc1"/>
        <w:snapToGrid/>
        <w:spacing w:beforeLines="0" w:before="100" w:beforeAutospacing="1" w:line="360" w:lineRule="auto"/>
        <w:ind w:firstLineChars="133" w:firstLine="293"/>
        <w:contextualSpacing/>
        <w:rPr>
          <w:b w:val="0"/>
          <w:sz w:val="22"/>
          <w:lang w:val="en-US"/>
        </w:rPr>
      </w:pPr>
      <w:r>
        <w:rPr>
          <w:b w:val="0"/>
          <w:sz w:val="22"/>
          <w:lang w:val="en-US"/>
        </w:rPr>
        <w:t>In case of PUSCH transmission, we should avoid the case when a DL RS is directly used for PUSCH scheduling which ha</w:t>
      </w:r>
      <w:r w:rsidR="005B5321">
        <w:rPr>
          <w:b w:val="0"/>
          <w:sz w:val="22"/>
          <w:lang w:val="en-US"/>
        </w:rPr>
        <w:t>d</w:t>
      </w:r>
      <w:r>
        <w:rPr>
          <w:b w:val="0"/>
          <w:sz w:val="22"/>
          <w:lang w:val="en-US"/>
        </w:rPr>
        <w:t xml:space="preserve"> been intensively </w:t>
      </w:r>
      <w:r w:rsidR="005B5321">
        <w:rPr>
          <w:b w:val="0"/>
          <w:sz w:val="22"/>
          <w:lang w:val="en-US"/>
        </w:rPr>
        <w:t>discussed</w:t>
      </w:r>
      <w:r>
        <w:rPr>
          <w:b w:val="0"/>
          <w:sz w:val="22"/>
          <w:lang w:val="en-US"/>
        </w:rPr>
        <w:t xml:space="preserve"> during Rel-15 NR and </w:t>
      </w:r>
      <w:r w:rsidR="005B5321">
        <w:rPr>
          <w:b w:val="0"/>
          <w:sz w:val="22"/>
          <w:lang w:val="en-US"/>
        </w:rPr>
        <w:t xml:space="preserve">concluded as a precluded option for PUSCH due to an ambiguity on port indication/determination. Due to the reasons, PUSCH port determination should be maintained </w:t>
      </w:r>
      <w:r w:rsidR="00496D32">
        <w:rPr>
          <w:b w:val="0"/>
          <w:sz w:val="22"/>
          <w:lang w:val="en-US"/>
        </w:rPr>
        <w:t xml:space="preserve">to be mapped with SRS ports </w:t>
      </w:r>
      <w:r w:rsidR="00FE16F8">
        <w:rPr>
          <w:b w:val="0"/>
          <w:sz w:val="22"/>
          <w:lang w:val="en-US"/>
        </w:rPr>
        <w:t>analogous to</w:t>
      </w:r>
      <w:r w:rsidR="00496D32">
        <w:rPr>
          <w:b w:val="0"/>
          <w:sz w:val="22"/>
          <w:lang w:val="en-US"/>
        </w:rPr>
        <w:t xml:space="preserve"> Rel-15/16.</w:t>
      </w:r>
      <w:r w:rsidR="005F0AD9">
        <w:rPr>
          <w:b w:val="0"/>
          <w:sz w:val="22"/>
          <w:lang w:val="en-US"/>
        </w:rPr>
        <w:t xml:space="preserve"> </w:t>
      </w:r>
    </w:p>
    <w:p w14:paraId="74DAE4FE" w14:textId="77777777" w:rsidR="003802D6" w:rsidRDefault="003802D6" w:rsidP="00D5592A">
      <w:pPr>
        <w:pStyle w:val="LGTdoc1"/>
        <w:snapToGrid/>
        <w:spacing w:beforeLines="0" w:before="100" w:beforeAutospacing="1" w:line="360" w:lineRule="auto"/>
        <w:ind w:firstLineChars="133" w:firstLine="293"/>
        <w:contextualSpacing/>
        <w:rPr>
          <w:b w:val="0"/>
          <w:sz w:val="22"/>
        </w:rPr>
      </w:pPr>
    </w:p>
    <w:p w14:paraId="255837F3" w14:textId="66B55112" w:rsidR="003802D6" w:rsidRDefault="003802D6" w:rsidP="003802D6">
      <w:pPr>
        <w:pStyle w:val="LGTdoc1"/>
        <w:snapToGrid/>
        <w:spacing w:beforeLines="0" w:before="100" w:beforeAutospacing="1" w:line="360" w:lineRule="auto"/>
        <w:contextualSpacing/>
        <w:rPr>
          <w:sz w:val="22"/>
        </w:rPr>
      </w:pPr>
      <w:r w:rsidRPr="00390EBF">
        <w:rPr>
          <w:sz w:val="22"/>
        </w:rPr>
        <w:t>Proposal #</w:t>
      </w:r>
      <w:r>
        <w:rPr>
          <w:sz w:val="22"/>
        </w:rPr>
        <w:t>3</w:t>
      </w:r>
      <w:r w:rsidRPr="00390EBF">
        <w:rPr>
          <w:sz w:val="22"/>
        </w:rPr>
        <w:t xml:space="preserve">. </w:t>
      </w:r>
      <w:r>
        <w:rPr>
          <w:sz w:val="22"/>
        </w:rPr>
        <w:t>PUSCH port mapping should be based on SRS ports as Rel-15/16.</w:t>
      </w:r>
    </w:p>
    <w:p w14:paraId="6EDA8FA0" w14:textId="77777777" w:rsidR="00463C50" w:rsidRDefault="00463C50" w:rsidP="00E40CC2">
      <w:pPr>
        <w:pStyle w:val="LGTdoc1"/>
        <w:snapToGrid/>
        <w:spacing w:beforeLines="0" w:before="100" w:beforeAutospacing="1" w:line="360" w:lineRule="auto"/>
        <w:contextualSpacing/>
        <w:rPr>
          <w:b w:val="0"/>
          <w:sz w:val="22"/>
          <w:lang w:val="en-US"/>
        </w:rPr>
      </w:pPr>
    </w:p>
    <w:p w14:paraId="1AF55F3C" w14:textId="22364BEE" w:rsidR="009107F1" w:rsidRDefault="003802D6" w:rsidP="003C5A11">
      <w:pPr>
        <w:pStyle w:val="LGTdoc1"/>
        <w:snapToGrid/>
        <w:spacing w:beforeLines="0" w:before="100" w:beforeAutospacing="1" w:line="360" w:lineRule="auto"/>
        <w:ind w:firstLineChars="133" w:firstLine="293"/>
        <w:contextualSpacing/>
        <w:rPr>
          <w:sz w:val="22"/>
        </w:rPr>
      </w:pPr>
      <w:r>
        <w:rPr>
          <w:b w:val="0"/>
          <w:sz w:val="22"/>
          <w:lang w:val="en-US"/>
        </w:rPr>
        <w:t xml:space="preserve">Before discussing UL TCI signaling design, </w:t>
      </w:r>
      <w:r w:rsidR="0007536B">
        <w:rPr>
          <w:b w:val="0"/>
          <w:sz w:val="22"/>
          <w:lang w:val="en-US"/>
        </w:rPr>
        <w:t>such as</w:t>
      </w:r>
      <w:r>
        <w:rPr>
          <w:b w:val="0"/>
          <w:sz w:val="22"/>
          <w:lang w:val="en-US"/>
        </w:rPr>
        <w:t xml:space="preserve"> issue 1b, </w:t>
      </w:r>
      <w:r w:rsidR="00710D3B">
        <w:rPr>
          <w:b w:val="0"/>
          <w:sz w:val="22"/>
          <w:lang w:val="en-US"/>
        </w:rPr>
        <w:t xml:space="preserve">the functionality of UL TCI </w:t>
      </w:r>
      <w:r w:rsidR="00535B3B">
        <w:rPr>
          <w:b w:val="0"/>
          <w:sz w:val="22"/>
          <w:lang w:val="en-US"/>
        </w:rPr>
        <w:t xml:space="preserve">needs to be clarified/decided </w:t>
      </w:r>
      <w:r w:rsidR="00710D3B">
        <w:rPr>
          <w:b w:val="0"/>
          <w:sz w:val="22"/>
          <w:lang w:val="en-US"/>
        </w:rPr>
        <w:t xml:space="preserve">first on what should be additionally provided by </w:t>
      </w:r>
      <w:r w:rsidR="00535B3B">
        <w:rPr>
          <w:b w:val="0"/>
          <w:sz w:val="22"/>
          <w:lang w:val="en-US"/>
        </w:rPr>
        <w:t xml:space="preserve">the </w:t>
      </w:r>
      <w:r w:rsidR="00710D3B">
        <w:rPr>
          <w:b w:val="0"/>
          <w:sz w:val="22"/>
          <w:lang w:val="en-US"/>
        </w:rPr>
        <w:t xml:space="preserve">TCI compared to </w:t>
      </w:r>
      <w:r w:rsidR="00535B3B">
        <w:rPr>
          <w:b w:val="0"/>
          <w:sz w:val="22"/>
          <w:lang w:val="en-US"/>
        </w:rPr>
        <w:t>legacy signaling</w:t>
      </w:r>
      <w:r w:rsidR="00710D3B">
        <w:rPr>
          <w:b w:val="0"/>
          <w:sz w:val="22"/>
          <w:lang w:val="en-US"/>
        </w:rPr>
        <w:t xml:space="preserve">. </w:t>
      </w:r>
      <w:r w:rsidR="00535B3B">
        <w:rPr>
          <w:b w:val="0"/>
          <w:sz w:val="22"/>
          <w:lang w:val="en-US"/>
        </w:rPr>
        <w:t xml:space="preserve">We think that this is closely related to </w:t>
      </w:r>
      <w:r w:rsidR="00961000">
        <w:rPr>
          <w:b w:val="0"/>
          <w:sz w:val="22"/>
          <w:lang w:val="en-US"/>
        </w:rPr>
        <w:t>issue</w:t>
      </w:r>
      <w:r w:rsidR="00535B3B">
        <w:rPr>
          <w:b w:val="0"/>
          <w:sz w:val="22"/>
          <w:lang w:val="en-US"/>
        </w:rPr>
        <w:t xml:space="preserve"> 1e, i.e. whether panel related parameters such as panel ID, power control, TA is signaled through UL TCI.</w:t>
      </w:r>
      <w:r w:rsidR="00F51872">
        <w:rPr>
          <w:b w:val="0"/>
          <w:sz w:val="22"/>
          <w:lang w:val="en-US"/>
        </w:rPr>
        <w:t xml:space="preserve"> For issue 1b, if only reference RS(s) are to be included as spatial relation RS(s), Alt1 (</w:t>
      </w:r>
      <w:r w:rsidR="00F51872" w:rsidRPr="00F51872">
        <w:rPr>
          <w:b w:val="0"/>
          <w:sz w:val="22"/>
          <w:lang w:val="en-US"/>
        </w:rPr>
        <w:t>Utiliz</w:t>
      </w:r>
      <w:r w:rsidR="00F51872">
        <w:rPr>
          <w:b w:val="0"/>
          <w:sz w:val="22"/>
          <w:lang w:val="en-US"/>
        </w:rPr>
        <w:t>ing</w:t>
      </w:r>
      <w:r w:rsidR="00F51872" w:rsidRPr="00F51872">
        <w:rPr>
          <w:b w:val="0"/>
          <w:sz w:val="22"/>
          <w:lang w:val="en-US"/>
        </w:rPr>
        <w:t xml:space="preserve"> the joint TCI </w:t>
      </w:r>
      <w:r w:rsidR="00F51872">
        <w:rPr>
          <w:b w:val="0"/>
          <w:sz w:val="22"/>
          <w:lang w:val="en-US"/>
        </w:rPr>
        <w:t>for separate beam indication for UL) seems a good way-forward, by assuming that SRS is allowed as reference RS for UL beam indication purpose. However, if more UL-dedicated information is to be added to the UL TCI such as power/timing control, Alt2 (</w:t>
      </w:r>
      <w:r w:rsidR="0007536B">
        <w:rPr>
          <w:b w:val="0"/>
          <w:sz w:val="22"/>
          <w:lang w:val="en-US"/>
        </w:rPr>
        <w:t>UL dedicated TCI states are used) seems better. Similar argument holds for the selection between Alt2-1 and Alt2-2.</w:t>
      </w:r>
    </w:p>
    <w:p w14:paraId="525352C5" w14:textId="77777777" w:rsidR="009107F1" w:rsidRPr="001E2E19" w:rsidRDefault="009107F1" w:rsidP="009107F1">
      <w:pPr>
        <w:pStyle w:val="LGTdoc1"/>
        <w:snapToGrid/>
        <w:spacing w:beforeLines="0" w:before="100" w:beforeAutospacing="1" w:line="360" w:lineRule="auto"/>
        <w:ind w:firstLineChars="133" w:firstLine="293"/>
        <w:contextualSpacing/>
        <w:rPr>
          <w:b w:val="0"/>
          <w:sz w:val="22"/>
        </w:rPr>
      </w:pPr>
    </w:p>
    <w:p w14:paraId="619B1E77" w14:textId="20B8DACE" w:rsidR="009107F1" w:rsidRDefault="009107F1" w:rsidP="009107F1">
      <w:pPr>
        <w:pStyle w:val="LGTdoc1"/>
        <w:snapToGrid/>
        <w:spacing w:beforeLines="0" w:before="100" w:beforeAutospacing="1" w:line="360" w:lineRule="auto"/>
        <w:contextualSpacing/>
        <w:rPr>
          <w:sz w:val="22"/>
        </w:rPr>
      </w:pPr>
      <w:r>
        <w:rPr>
          <w:rFonts w:hint="eastAsia"/>
          <w:sz w:val="22"/>
        </w:rPr>
        <w:t>Proposal #</w:t>
      </w:r>
      <w:r>
        <w:rPr>
          <w:sz w:val="22"/>
        </w:rPr>
        <w:t>4</w:t>
      </w:r>
      <w:r>
        <w:rPr>
          <w:rFonts w:hint="eastAsia"/>
          <w:sz w:val="22"/>
        </w:rPr>
        <w:t xml:space="preserve">. </w:t>
      </w:r>
      <w:r w:rsidR="00535B3B">
        <w:rPr>
          <w:sz w:val="22"/>
        </w:rPr>
        <w:t>Before the details of</w:t>
      </w:r>
      <w:r>
        <w:rPr>
          <w:sz w:val="22"/>
        </w:rPr>
        <w:t xml:space="preserve"> UL TCI</w:t>
      </w:r>
      <w:r w:rsidR="00535B3B">
        <w:rPr>
          <w:sz w:val="22"/>
        </w:rPr>
        <w:t xml:space="preserve"> signaling</w:t>
      </w:r>
      <w:r>
        <w:rPr>
          <w:sz w:val="22"/>
        </w:rPr>
        <w:t xml:space="preserve">, clarify which </w:t>
      </w:r>
      <w:r w:rsidR="00535B3B">
        <w:rPr>
          <w:sz w:val="22"/>
        </w:rPr>
        <w:t>function</w:t>
      </w:r>
      <w:r w:rsidR="003E4D31">
        <w:rPr>
          <w:sz w:val="22"/>
        </w:rPr>
        <w:t>/information</w:t>
      </w:r>
      <w:r>
        <w:rPr>
          <w:sz w:val="22"/>
        </w:rPr>
        <w:t xml:space="preserve"> </w:t>
      </w:r>
      <w:r w:rsidR="003E4D31">
        <w:rPr>
          <w:sz w:val="22"/>
        </w:rPr>
        <w:t xml:space="preserve">is </w:t>
      </w:r>
      <w:r w:rsidR="00535B3B">
        <w:rPr>
          <w:sz w:val="22"/>
        </w:rPr>
        <w:t>to be added by the UL TCI</w:t>
      </w:r>
      <w:r w:rsidR="003C3E53">
        <w:rPr>
          <w:sz w:val="22"/>
        </w:rPr>
        <w:t xml:space="preserve"> compared to legacy functions.</w:t>
      </w:r>
    </w:p>
    <w:p w14:paraId="6DBF3A75" w14:textId="349AF9C1" w:rsidR="009107F1" w:rsidRDefault="009107F1" w:rsidP="00E40CC2">
      <w:pPr>
        <w:pStyle w:val="LGTdoc1"/>
        <w:snapToGrid/>
        <w:spacing w:beforeLines="0" w:before="100" w:beforeAutospacing="1" w:line="360" w:lineRule="auto"/>
        <w:ind w:firstLineChars="133" w:firstLine="293"/>
        <w:contextualSpacing/>
        <w:rPr>
          <w:b w:val="0"/>
          <w:sz w:val="22"/>
          <w:lang w:val="en-US"/>
        </w:rPr>
      </w:pPr>
    </w:p>
    <w:p w14:paraId="06DBCB0F" w14:textId="43714E6E" w:rsidR="0007536B" w:rsidRDefault="0007536B" w:rsidP="003C5A11">
      <w:pPr>
        <w:pStyle w:val="LGTdoc1"/>
        <w:snapToGrid/>
        <w:spacing w:beforeLines="0" w:before="100" w:beforeAutospacing="1" w:line="360" w:lineRule="auto"/>
        <w:ind w:firstLineChars="133" w:firstLine="293"/>
        <w:contextualSpacing/>
        <w:rPr>
          <w:b w:val="0"/>
          <w:sz w:val="22"/>
          <w:lang w:val="en-US"/>
        </w:rPr>
      </w:pPr>
      <w:r>
        <w:rPr>
          <w:b w:val="0"/>
          <w:sz w:val="22"/>
          <w:lang w:val="en-US"/>
        </w:rPr>
        <w:t xml:space="preserve">Regarding the additional functions by the UL TCI, we </w:t>
      </w:r>
      <w:r w:rsidR="003E4D31">
        <w:rPr>
          <w:b w:val="0"/>
          <w:sz w:val="22"/>
          <w:lang w:val="en-US"/>
        </w:rPr>
        <w:t>support to add the</w:t>
      </w:r>
      <w:r>
        <w:rPr>
          <w:b w:val="0"/>
          <w:sz w:val="22"/>
          <w:lang w:val="en-US"/>
        </w:rPr>
        <w:t xml:space="preserve"> panel selective transmission with panel-specific power and timing control. Detailed discussion can be found in section 2.4. Another function can be to deliver multiple spatial relation RS(s) for MTRP UL being discussed in item 2a.</w:t>
      </w:r>
      <w:r w:rsidR="003C3E53">
        <w:rPr>
          <w:b w:val="0"/>
          <w:sz w:val="22"/>
          <w:lang w:val="en-US"/>
        </w:rPr>
        <w:t xml:space="preserve"> </w:t>
      </w:r>
    </w:p>
    <w:p w14:paraId="41668084" w14:textId="77777777" w:rsidR="0007536B" w:rsidRDefault="0007536B" w:rsidP="003C5A11">
      <w:pPr>
        <w:pStyle w:val="LGTdoc1"/>
        <w:snapToGrid/>
        <w:spacing w:beforeLines="0" w:before="100" w:beforeAutospacing="1" w:line="360" w:lineRule="auto"/>
        <w:ind w:firstLineChars="133" w:firstLine="293"/>
        <w:contextualSpacing/>
        <w:rPr>
          <w:b w:val="0"/>
          <w:sz w:val="22"/>
          <w:lang w:val="en-US"/>
        </w:rPr>
      </w:pPr>
    </w:p>
    <w:p w14:paraId="16B5C9C8" w14:textId="3DBA2FF7" w:rsidR="0007536B" w:rsidRDefault="0007536B" w:rsidP="003C5A11">
      <w:pPr>
        <w:pStyle w:val="LGTdoc1"/>
        <w:snapToGrid/>
        <w:spacing w:beforeLines="0" w:before="100" w:beforeAutospacing="1" w:line="360" w:lineRule="auto"/>
        <w:contextualSpacing/>
        <w:rPr>
          <w:sz w:val="22"/>
        </w:rPr>
      </w:pPr>
      <w:r>
        <w:rPr>
          <w:rFonts w:hint="eastAsia"/>
          <w:sz w:val="22"/>
        </w:rPr>
        <w:t>Proposal #</w:t>
      </w:r>
      <w:r>
        <w:rPr>
          <w:sz w:val="22"/>
        </w:rPr>
        <w:t>5</w:t>
      </w:r>
      <w:r>
        <w:rPr>
          <w:rFonts w:hint="eastAsia"/>
          <w:sz w:val="22"/>
        </w:rPr>
        <w:t xml:space="preserve">. </w:t>
      </w:r>
      <w:r>
        <w:rPr>
          <w:sz w:val="22"/>
        </w:rPr>
        <w:t>Support following additional functions through the UL TCI.</w:t>
      </w:r>
    </w:p>
    <w:p w14:paraId="71679F79" w14:textId="510594E9" w:rsidR="002201E4" w:rsidRPr="001E2E19" w:rsidRDefault="0007536B" w:rsidP="003C5A11">
      <w:pPr>
        <w:pStyle w:val="LGTdoc1"/>
        <w:numPr>
          <w:ilvl w:val="3"/>
          <w:numId w:val="43"/>
        </w:numPr>
        <w:snapToGrid/>
        <w:spacing w:beforeLines="0" w:before="100" w:beforeAutospacing="1" w:line="360" w:lineRule="auto"/>
        <w:ind w:left="709"/>
        <w:contextualSpacing/>
        <w:rPr>
          <w:sz w:val="22"/>
        </w:rPr>
      </w:pPr>
      <w:r>
        <w:rPr>
          <w:sz w:val="22"/>
        </w:rPr>
        <w:t>Dynamic panel switching</w:t>
      </w:r>
      <w:r w:rsidR="003C3E53">
        <w:rPr>
          <w:sz w:val="22"/>
        </w:rPr>
        <w:t xml:space="preserve"> with panel-specific power/timing control</w:t>
      </w:r>
    </w:p>
    <w:p w14:paraId="5E2EA10F" w14:textId="18454F05" w:rsidR="002201E4" w:rsidRPr="001E2E19" w:rsidRDefault="003C3E53" w:rsidP="003C5A11">
      <w:pPr>
        <w:pStyle w:val="LGTdoc1"/>
        <w:numPr>
          <w:ilvl w:val="3"/>
          <w:numId w:val="43"/>
        </w:numPr>
        <w:snapToGrid/>
        <w:spacing w:beforeLines="0" w:before="100" w:beforeAutospacing="1" w:line="360" w:lineRule="auto"/>
        <w:ind w:left="709"/>
        <w:contextualSpacing/>
        <w:rPr>
          <w:sz w:val="22"/>
        </w:rPr>
      </w:pPr>
      <w:r>
        <w:rPr>
          <w:sz w:val="22"/>
        </w:rPr>
        <w:t>Signaling of multiple spatial relations for enhanced UL transmission for MTRP</w:t>
      </w:r>
    </w:p>
    <w:p w14:paraId="550E2467" w14:textId="77777777" w:rsidR="00D5592A" w:rsidRPr="00D5592A" w:rsidRDefault="00D5592A" w:rsidP="00D5592A">
      <w:pPr>
        <w:pStyle w:val="LGTdoc1"/>
        <w:snapToGrid/>
        <w:spacing w:beforeLines="0" w:before="100" w:beforeAutospacing="1" w:line="360" w:lineRule="auto"/>
        <w:contextualSpacing/>
        <w:rPr>
          <w:sz w:val="22"/>
        </w:rPr>
      </w:pPr>
    </w:p>
    <w:p w14:paraId="77A612ED" w14:textId="15294185" w:rsidR="008F6019" w:rsidRPr="00D5592A" w:rsidRDefault="008F6019" w:rsidP="00D5592A">
      <w:pPr>
        <w:pStyle w:val="1"/>
        <w:numPr>
          <w:ilvl w:val="1"/>
          <w:numId w:val="1"/>
        </w:numPr>
        <w:tabs>
          <w:tab w:val="left" w:pos="851"/>
        </w:tabs>
        <w:ind w:left="851" w:hanging="809"/>
      </w:pPr>
      <w:r>
        <w:t>L1/L2-centric inter-cell mobility</w:t>
      </w:r>
    </w:p>
    <w:tbl>
      <w:tblPr>
        <w:tblStyle w:val="a7"/>
        <w:tblW w:w="0" w:type="auto"/>
        <w:tblLook w:val="04A0" w:firstRow="1" w:lastRow="0" w:firstColumn="1" w:lastColumn="0" w:noHBand="0" w:noVBand="1"/>
      </w:tblPr>
      <w:tblGrid>
        <w:gridCol w:w="9016"/>
      </w:tblGrid>
      <w:tr w:rsidR="008F6019" w14:paraId="5369D358" w14:textId="77777777" w:rsidTr="008F6019">
        <w:tc>
          <w:tcPr>
            <w:tcW w:w="9016" w:type="dxa"/>
          </w:tcPr>
          <w:p w14:paraId="35AC0702" w14:textId="77777777" w:rsidR="008F6019" w:rsidRPr="008F6019" w:rsidRDefault="008F6019" w:rsidP="008F6019">
            <w:pPr>
              <w:widowControl/>
              <w:wordWrap/>
              <w:autoSpaceDE/>
              <w:spacing w:after="0"/>
              <w:rPr>
                <w:rFonts w:ascii="Times" w:eastAsia="맑은 고딕" w:hAnsi="Times" w:cs="Times"/>
                <w:b/>
                <w:bCs/>
                <w:highlight w:val="green"/>
                <w:lang w:val="en-GB" w:eastAsia="x-none"/>
              </w:rPr>
            </w:pPr>
            <w:r w:rsidRPr="008F6019">
              <w:rPr>
                <w:rFonts w:ascii="Times" w:eastAsia="맑은 고딕" w:hAnsi="Times" w:cs="Times"/>
                <w:b/>
                <w:bCs/>
                <w:highlight w:val="green"/>
                <w:lang w:val="en-GB" w:eastAsia="x-none"/>
              </w:rPr>
              <w:t>Agreement</w:t>
            </w:r>
          </w:p>
          <w:p w14:paraId="23959EE9" w14:textId="77777777" w:rsidR="008F6019" w:rsidRPr="008F6019" w:rsidRDefault="008F6019" w:rsidP="008F6019">
            <w:pPr>
              <w:widowControl/>
              <w:numPr>
                <w:ilvl w:val="0"/>
                <w:numId w:val="45"/>
              </w:numPr>
              <w:wordWrap/>
              <w:autoSpaceDE/>
              <w:snapToGrid w:val="0"/>
              <w:spacing w:after="0"/>
              <w:contextualSpacing/>
              <w:rPr>
                <w:rFonts w:eastAsia="맑은 고딕"/>
                <w:lang w:val="en-GB" w:eastAsia="x-none"/>
              </w:rPr>
            </w:pPr>
            <w:r w:rsidRPr="008F6019">
              <w:rPr>
                <w:rFonts w:eastAsia="맑은 고딕"/>
                <w:lang w:val="en-GB" w:eastAsia="x-none"/>
              </w:rPr>
              <w:t xml:space="preserve">[Issue 2] For Rel.17 NR FeMIMO, on L1/L2-centric inter-cell mobility: </w:t>
            </w:r>
          </w:p>
          <w:p w14:paraId="3DFE198D" w14:textId="77777777" w:rsidR="008F6019" w:rsidRPr="008F6019" w:rsidRDefault="008F6019" w:rsidP="008F6019">
            <w:pPr>
              <w:widowControl/>
              <w:numPr>
                <w:ilvl w:val="1"/>
                <w:numId w:val="45"/>
              </w:numPr>
              <w:wordWrap/>
              <w:autoSpaceDE/>
              <w:snapToGrid w:val="0"/>
              <w:spacing w:after="0"/>
              <w:contextualSpacing/>
              <w:rPr>
                <w:rFonts w:eastAsia="맑은 고딕"/>
                <w:lang w:val="en-GB" w:eastAsia="x-none"/>
              </w:rPr>
            </w:pPr>
            <w:r w:rsidRPr="008F6019">
              <w:rPr>
                <w:rFonts w:eastAsia="맑은 고딕"/>
                <w:lang w:val="en-GB" w:eastAsia="x-none"/>
              </w:rPr>
              <w:t xml:space="preserve">In RAN1#103-e, finalize scope and use cases for L1/L2-centric inter-cell mobility, including: </w:t>
            </w:r>
          </w:p>
          <w:p w14:paraId="582705F2"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Applicability in various non-CA and CA setups such as intra-band and inter-band CA</w:t>
            </w:r>
          </w:p>
          <w:p w14:paraId="6C1BF8F1"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Use cases in comparison to Rel.15 L3-based handover (HO) taking into account potential extension of DAPS-based Rel.16 mobility enhancement to FR2-FR2 HO</w:t>
            </w:r>
          </w:p>
          <w:p w14:paraId="082A2233"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The extent of RAN2 impact (MAC CE, RRC, user plane protocols)</w:t>
            </w:r>
          </w:p>
          <w:p w14:paraId="536EC0B0"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Network architecture, e.g. NSA vs. SA, inter-RAT scenarios</w:t>
            </w:r>
          </w:p>
          <w:p w14:paraId="5AE308B0" w14:textId="77777777" w:rsidR="008F6019" w:rsidRPr="008F6019" w:rsidRDefault="008F6019" w:rsidP="008F6019">
            <w:pPr>
              <w:widowControl/>
              <w:numPr>
                <w:ilvl w:val="1"/>
                <w:numId w:val="45"/>
              </w:numPr>
              <w:wordWrap/>
              <w:autoSpaceDE/>
              <w:snapToGrid w:val="0"/>
              <w:spacing w:after="0"/>
              <w:contextualSpacing/>
              <w:rPr>
                <w:rFonts w:eastAsia="맑은 고딕"/>
                <w:lang w:val="en-GB" w:eastAsia="x-none"/>
              </w:rPr>
            </w:pPr>
            <w:r w:rsidRPr="008F6019">
              <w:rPr>
                <w:rFonts w:eastAsia="맑은 고딕"/>
                <w:lang w:val="en-GB" w:eastAsia="x-none"/>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52D11F3A"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Method(s) for incorporating non-serving cell information associated with TCI</w:t>
            </w:r>
          </w:p>
          <w:p w14:paraId="3BA7E55D"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Method(s) for DL measurements and UE reporting (e.g. L1-RSRP) associated with non-serving cell(s)</w:t>
            </w:r>
          </w:p>
          <w:p w14:paraId="3316ECD7" w14:textId="77777777" w:rsidR="008F6019" w:rsidRPr="008F6019" w:rsidRDefault="008F6019" w:rsidP="008F6019">
            <w:pPr>
              <w:widowControl/>
              <w:numPr>
                <w:ilvl w:val="2"/>
                <w:numId w:val="45"/>
              </w:numPr>
              <w:wordWrap/>
              <w:autoSpaceDE/>
              <w:snapToGrid w:val="0"/>
              <w:spacing w:after="0"/>
              <w:contextualSpacing/>
              <w:rPr>
                <w:rFonts w:eastAsia="맑은 고딕"/>
                <w:lang w:val="en-GB" w:eastAsia="x-none"/>
              </w:rPr>
            </w:pPr>
            <w:bookmarkStart w:id="2" w:name="_Hlk49275654"/>
            <w:r w:rsidRPr="008F6019">
              <w:rPr>
                <w:rFonts w:eastAsia="맑은 고딕"/>
                <w:lang w:val="en-GB" w:eastAsia="x-none"/>
              </w:rPr>
              <w:t>UE behavior for reception of signals and non-UE-specific control and data channels associated with non-serving cell(s)</w:t>
            </w:r>
            <w:bookmarkEnd w:id="2"/>
            <w:r w:rsidRPr="008F6019">
              <w:rPr>
                <w:rFonts w:eastAsia="맑은 고딕"/>
                <w:lang w:val="en-GB" w:eastAsia="x-none"/>
              </w:rPr>
              <w:t xml:space="preserve"> </w:t>
            </w:r>
          </w:p>
          <w:p w14:paraId="6365D236" w14:textId="77777777" w:rsidR="008F6019" w:rsidRPr="00390EBF" w:rsidRDefault="008F6019" w:rsidP="008F6019">
            <w:pPr>
              <w:widowControl/>
              <w:numPr>
                <w:ilvl w:val="2"/>
                <w:numId w:val="45"/>
              </w:numPr>
              <w:wordWrap/>
              <w:autoSpaceDE/>
              <w:snapToGrid w:val="0"/>
              <w:spacing w:after="0"/>
              <w:contextualSpacing/>
              <w:rPr>
                <w:rFonts w:eastAsia="맑은 고딕"/>
                <w:lang w:val="en-GB" w:eastAsia="x-none"/>
              </w:rPr>
            </w:pPr>
            <w:r w:rsidRPr="008F6019">
              <w:rPr>
                <w:rFonts w:eastAsia="맑은 고딕"/>
                <w:lang w:val="en-GB" w:eastAsia="x-none"/>
              </w:rPr>
              <w:t>UL-related enhancements, e.g. related to RA procedure including TA</w:t>
            </w:r>
          </w:p>
          <w:p w14:paraId="548D7FBA" w14:textId="543E4EC9" w:rsidR="008F6019" w:rsidRDefault="008F6019" w:rsidP="008F6019">
            <w:pPr>
              <w:widowControl/>
              <w:numPr>
                <w:ilvl w:val="2"/>
                <w:numId w:val="45"/>
              </w:numPr>
              <w:wordWrap/>
              <w:autoSpaceDE/>
              <w:snapToGrid w:val="0"/>
              <w:spacing w:after="0"/>
              <w:contextualSpacing/>
              <w:rPr>
                <w:b/>
                <w:sz w:val="22"/>
              </w:rPr>
            </w:pPr>
            <w:r w:rsidRPr="00390EBF">
              <w:rPr>
                <w:rFonts w:eastAsia="맑은 고딕"/>
                <w:lang w:val="en-GB" w:eastAsia="x-none"/>
              </w:rPr>
              <w:t>Beam-level event-driven mechanism for L1/L2-centric inter-cell mobility</w:t>
            </w:r>
          </w:p>
        </w:tc>
      </w:tr>
    </w:tbl>
    <w:p w14:paraId="5342582A" w14:textId="105F240F" w:rsidR="0085684A" w:rsidRPr="008B5140" w:rsidRDefault="00A76550" w:rsidP="001E2E19">
      <w:pPr>
        <w:pStyle w:val="LGTdoc1"/>
        <w:snapToGrid/>
        <w:spacing w:beforeLines="0" w:before="100" w:beforeAutospacing="1" w:line="360" w:lineRule="auto"/>
        <w:ind w:firstLineChars="146" w:firstLine="321"/>
        <w:contextualSpacing/>
        <w:rPr>
          <w:b w:val="0"/>
          <w:sz w:val="22"/>
          <w:lang w:val="en-US"/>
        </w:rPr>
      </w:pPr>
      <w:r>
        <w:rPr>
          <w:b w:val="0"/>
          <w:sz w:val="22"/>
          <w:lang w:val="en-US"/>
        </w:rPr>
        <w:t>Current BM framework is quite flexible so that it can</w:t>
      </w:r>
      <w:r w:rsidR="000A5FF4">
        <w:rPr>
          <w:b w:val="0"/>
          <w:sz w:val="22"/>
          <w:lang w:val="en-US"/>
        </w:rPr>
        <w:t xml:space="preserve"> already</w:t>
      </w:r>
      <w:r>
        <w:rPr>
          <w:b w:val="0"/>
          <w:sz w:val="22"/>
          <w:lang w:val="en-US"/>
        </w:rPr>
        <w:t xml:space="preserve"> be used for intra-cell or inter-</w:t>
      </w:r>
      <w:r w:rsidR="00740DC9">
        <w:rPr>
          <w:b w:val="0"/>
          <w:sz w:val="22"/>
          <w:lang w:val="en-US"/>
        </w:rPr>
        <w:t>cell BM, e.g. via using virtual cell ID for CSI-RS scrambling. One issue for DL is that SSB</w:t>
      </w:r>
      <w:r w:rsidR="000A5FF4">
        <w:rPr>
          <w:b w:val="0"/>
          <w:sz w:val="22"/>
          <w:lang w:val="en-US"/>
        </w:rPr>
        <w:t>s</w:t>
      </w:r>
      <w:r w:rsidR="00740DC9">
        <w:rPr>
          <w:b w:val="0"/>
          <w:sz w:val="22"/>
          <w:lang w:val="en-US"/>
        </w:rPr>
        <w:t xml:space="preserve"> from non-serving cell cannot be used as reference RSs for BM. Another issue is the limited usage due to the inter-cell synchronization error. We believe that these issues can be handled in item 2b </w:t>
      </w:r>
      <w:r w:rsidR="00AE4EB9">
        <w:rPr>
          <w:b w:val="0"/>
          <w:sz w:val="22"/>
          <w:lang w:val="en-US"/>
        </w:rPr>
        <w:t>[3]</w:t>
      </w:r>
      <w:r w:rsidR="00740DC9">
        <w:rPr>
          <w:b w:val="0"/>
          <w:sz w:val="22"/>
          <w:lang w:val="en-US"/>
        </w:rPr>
        <w:t>. For UL BM, similar issue exists, i.e. non-serving cell SSB cannot be used as spatial relation RS.</w:t>
      </w:r>
      <w:r w:rsidR="00123B36">
        <w:rPr>
          <w:b w:val="0"/>
          <w:sz w:val="22"/>
          <w:lang w:val="en-US"/>
        </w:rPr>
        <w:t xml:space="preserve"> </w:t>
      </w:r>
      <w:r w:rsidR="000A5FF4">
        <w:rPr>
          <w:b w:val="0"/>
          <w:sz w:val="22"/>
          <w:lang w:val="en-US"/>
        </w:rPr>
        <w:t>Therefore, we propose the following.</w:t>
      </w:r>
    </w:p>
    <w:p w14:paraId="26B6B509" w14:textId="4B9E6DD8" w:rsidR="001D6154" w:rsidRDefault="00CD3B2D" w:rsidP="004A1624">
      <w:pPr>
        <w:wordWrap/>
        <w:spacing w:after="0" w:line="360" w:lineRule="auto"/>
        <w:rPr>
          <w:rFonts w:ascii="Times New Roman" w:eastAsia="바탕" w:hAnsi="Times New Roman" w:cs="Times New Roman"/>
          <w:b/>
          <w:sz w:val="22"/>
        </w:rPr>
      </w:pPr>
      <w:r>
        <w:rPr>
          <w:rFonts w:ascii="Times New Roman" w:eastAsia="바탕" w:hAnsi="Times New Roman" w:cs="Times New Roman"/>
          <w:b/>
          <w:sz w:val="22"/>
        </w:rPr>
        <w:lastRenderedPageBreak/>
        <w:t>Proposal #</w:t>
      </w:r>
      <w:r w:rsidR="0085684A">
        <w:rPr>
          <w:rFonts w:ascii="Times New Roman" w:eastAsia="바탕" w:hAnsi="Times New Roman" w:cs="Times New Roman"/>
          <w:b/>
          <w:sz w:val="22"/>
        </w:rPr>
        <w:t>6</w:t>
      </w:r>
      <w:r>
        <w:rPr>
          <w:rFonts w:ascii="Times New Roman" w:eastAsia="바탕" w:hAnsi="Times New Roman" w:cs="Times New Roman"/>
          <w:b/>
          <w:sz w:val="22"/>
        </w:rPr>
        <w:t xml:space="preserve">. </w:t>
      </w:r>
      <w:r w:rsidR="006C2DA0">
        <w:rPr>
          <w:rFonts w:ascii="Times New Roman" w:eastAsia="바탕" w:hAnsi="Times New Roman" w:cs="Times New Roman"/>
          <w:b/>
          <w:sz w:val="22"/>
        </w:rPr>
        <w:t xml:space="preserve">Support </w:t>
      </w:r>
      <w:r w:rsidR="000A5FF4">
        <w:rPr>
          <w:rFonts w:ascii="Times New Roman" w:eastAsia="바탕" w:hAnsi="Times New Roman" w:cs="Times New Roman"/>
          <w:b/>
          <w:sz w:val="22"/>
        </w:rPr>
        <w:t xml:space="preserve">configuring </w:t>
      </w:r>
      <w:r w:rsidR="006C2DA0">
        <w:rPr>
          <w:rFonts w:ascii="Times New Roman" w:eastAsia="바탕" w:hAnsi="Times New Roman" w:cs="Times New Roman"/>
          <w:b/>
          <w:sz w:val="22"/>
        </w:rPr>
        <w:t>physical cell ID (PCI) of non-serving cell</w:t>
      </w:r>
      <w:r w:rsidR="003A717B">
        <w:rPr>
          <w:rFonts w:ascii="Times New Roman" w:eastAsia="바탕" w:hAnsi="Times New Roman" w:cs="Times New Roman"/>
          <w:b/>
          <w:sz w:val="22"/>
        </w:rPr>
        <w:t xml:space="preserve"> (NSCell)</w:t>
      </w:r>
      <w:r w:rsidR="006C2DA0">
        <w:rPr>
          <w:rFonts w:ascii="Times New Roman" w:eastAsia="바탕" w:hAnsi="Times New Roman" w:cs="Times New Roman"/>
          <w:b/>
          <w:sz w:val="22"/>
        </w:rPr>
        <w:t xml:space="preserve"> </w:t>
      </w:r>
      <w:r w:rsidR="000A5FF4">
        <w:rPr>
          <w:rFonts w:ascii="Times New Roman" w:eastAsia="바탕" w:hAnsi="Times New Roman" w:cs="Times New Roman"/>
          <w:b/>
          <w:sz w:val="22"/>
        </w:rPr>
        <w:t>to</w:t>
      </w:r>
      <w:r w:rsidR="00B95862">
        <w:rPr>
          <w:rFonts w:ascii="Times New Roman" w:eastAsia="바탕" w:hAnsi="Times New Roman" w:cs="Times New Roman"/>
          <w:b/>
          <w:sz w:val="22"/>
        </w:rPr>
        <w:t xml:space="preserve"> or with</w:t>
      </w:r>
      <w:r w:rsidR="000A5FF4">
        <w:rPr>
          <w:rFonts w:ascii="Times New Roman" w:eastAsia="바탕" w:hAnsi="Times New Roman" w:cs="Times New Roman"/>
          <w:b/>
          <w:sz w:val="22"/>
        </w:rPr>
        <w:t xml:space="preserve"> spatial relation info</w:t>
      </w:r>
      <w:r w:rsidR="00B95862">
        <w:rPr>
          <w:rFonts w:ascii="Times New Roman" w:eastAsia="바탕" w:hAnsi="Times New Roman" w:cs="Times New Roman"/>
          <w:b/>
          <w:sz w:val="22"/>
        </w:rPr>
        <w:t xml:space="preserve"> for UL beam indication</w:t>
      </w:r>
      <w:r w:rsidR="000A5FF4">
        <w:rPr>
          <w:rFonts w:ascii="Times New Roman" w:eastAsia="바탕" w:hAnsi="Times New Roman" w:cs="Times New Roman"/>
          <w:b/>
          <w:sz w:val="22"/>
        </w:rPr>
        <w:t xml:space="preserve"> </w:t>
      </w:r>
      <w:r w:rsidR="003A717B">
        <w:rPr>
          <w:rFonts w:ascii="Times New Roman" w:eastAsia="바탕" w:hAnsi="Times New Roman" w:cs="Times New Roman"/>
          <w:b/>
          <w:sz w:val="22"/>
        </w:rPr>
        <w:t xml:space="preserve">for </w:t>
      </w:r>
      <w:r w:rsidR="00160C4B">
        <w:rPr>
          <w:rFonts w:ascii="Times New Roman" w:eastAsia="바탕" w:hAnsi="Times New Roman" w:cs="Times New Roman"/>
          <w:b/>
          <w:sz w:val="22"/>
        </w:rPr>
        <w:t>L1/L2-centric inter-cell mobility</w:t>
      </w:r>
      <w:r w:rsidR="00D5592A">
        <w:rPr>
          <w:rFonts w:ascii="Times New Roman" w:eastAsia="바탕" w:hAnsi="Times New Roman" w:cs="Times New Roman"/>
          <w:b/>
          <w:sz w:val="22"/>
        </w:rPr>
        <w:t>.</w:t>
      </w:r>
    </w:p>
    <w:p w14:paraId="645A073C" w14:textId="541CABBB" w:rsidR="000F15AB" w:rsidRDefault="008F1C32" w:rsidP="00D27ABD">
      <w:pPr>
        <w:pStyle w:val="LGTdoc1"/>
        <w:snapToGrid/>
        <w:spacing w:beforeLines="0" w:before="100" w:beforeAutospacing="1" w:line="360" w:lineRule="auto"/>
        <w:ind w:firstLineChars="146" w:firstLine="321"/>
        <w:contextualSpacing/>
        <w:rPr>
          <w:b w:val="0"/>
          <w:sz w:val="22"/>
          <w:lang w:val="en-US"/>
        </w:rPr>
      </w:pPr>
      <w:r>
        <w:rPr>
          <w:b w:val="0"/>
          <w:sz w:val="22"/>
          <w:lang w:val="en-US"/>
        </w:rPr>
        <w:t>As a potential approach to modify/enhance the conventional HO procedure, L1</w:t>
      </w:r>
      <w:r w:rsidR="003724D7">
        <w:rPr>
          <w:b w:val="0"/>
          <w:sz w:val="22"/>
          <w:lang w:val="en-US"/>
        </w:rPr>
        <w:t>/L2</w:t>
      </w:r>
      <w:r>
        <w:rPr>
          <w:b w:val="0"/>
          <w:sz w:val="22"/>
          <w:lang w:val="en-US"/>
        </w:rPr>
        <w:t xml:space="preserve"> event-driven mechanism for inter-cell mobility</w:t>
      </w:r>
      <w:r w:rsidR="008B5140">
        <w:rPr>
          <w:b w:val="0"/>
          <w:sz w:val="22"/>
          <w:lang w:val="en-US"/>
        </w:rPr>
        <w:t xml:space="preserve"> </w:t>
      </w:r>
      <w:r w:rsidR="00AE4EB9">
        <w:rPr>
          <w:b w:val="0"/>
          <w:sz w:val="22"/>
          <w:lang w:val="en-US"/>
        </w:rPr>
        <w:t xml:space="preserve">may </w:t>
      </w:r>
      <w:r w:rsidR="008B5140">
        <w:rPr>
          <w:b w:val="0"/>
          <w:sz w:val="22"/>
          <w:lang w:val="en-US"/>
        </w:rPr>
        <w:t>be considered</w:t>
      </w:r>
      <w:r>
        <w:rPr>
          <w:b w:val="0"/>
          <w:sz w:val="22"/>
          <w:lang w:val="en-US"/>
        </w:rPr>
        <w:t xml:space="preserve">. </w:t>
      </w:r>
      <w:r w:rsidR="00805A76">
        <w:rPr>
          <w:b w:val="0"/>
          <w:sz w:val="22"/>
          <w:lang w:val="en-US"/>
        </w:rPr>
        <w:t xml:space="preserve">It means that </w:t>
      </w:r>
      <w:r w:rsidR="00FA06FC">
        <w:rPr>
          <w:b w:val="0"/>
          <w:sz w:val="22"/>
          <w:lang w:val="en-US"/>
        </w:rPr>
        <w:t>UE performs the measurement reporting</w:t>
      </w:r>
      <w:r w:rsidR="00D27ABD">
        <w:rPr>
          <w:b w:val="0"/>
          <w:sz w:val="22"/>
          <w:lang w:val="en-US"/>
        </w:rPr>
        <w:t xml:space="preserve"> related to L1 beam </w:t>
      </w:r>
      <w:r w:rsidR="009E4498">
        <w:rPr>
          <w:b w:val="0"/>
          <w:sz w:val="22"/>
          <w:lang w:val="en-US"/>
        </w:rPr>
        <w:t>information</w:t>
      </w:r>
      <w:r w:rsidR="00FA06FC">
        <w:rPr>
          <w:b w:val="0"/>
          <w:sz w:val="22"/>
          <w:lang w:val="en-US"/>
        </w:rPr>
        <w:t xml:space="preserve"> </w:t>
      </w:r>
      <w:r w:rsidR="009E4498">
        <w:rPr>
          <w:b w:val="0"/>
          <w:sz w:val="22"/>
          <w:lang w:val="en-US"/>
        </w:rPr>
        <w:t xml:space="preserve">including that of NSCell </w:t>
      </w:r>
      <w:r w:rsidR="00D27ABD">
        <w:rPr>
          <w:b w:val="0"/>
          <w:sz w:val="22"/>
          <w:lang w:val="en-US"/>
        </w:rPr>
        <w:t>when L1 HO event condition is triggered</w:t>
      </w:r>
      <w:r w:rsidR="00FA06FC">
        <w:rPr>
          <w:b w:val="0"/>
          <w:sz w:val="22"/>
          <w:lang w:val="en-US"/>
        </w:rPr>
        <w:t xml:space="preserve"> based on the beam quality (e.g. L</w:t>
      </w:r>
      <w:r w:rsidR="009E4498">
        <w:rPr>
          <w:b w:val="0"/>
          <w:sz w:val="22"/>
          <w:lang w:val="en-US"/>
        </w:rPr>
        <w:t>1-RSRP, L1-SINR etc.).</w:t>
      </w:r>
      <w:r w:rsidR="00EE5CBF">
        <w:rPr>
          <w:b w:val="0"/>
          <w:sz w:val="22"/>
          <w:lang w:val="en-US"/>
        </w:rPr>
        <w:t xml:space="preserve"> </w:t>
      </w:r>
      <w:r w:rsidR="004E2A7A">
        <w:rPr>
          <w:b w:val="0"/>
          <w:sz w:val="22"/>
          <w:lang w:val="en-US"/>
        </w:rPr>
        <w:t>Ho</w:t>
      </w:r>
      <w:bookmarkStart w:id="3" w:name="_GoBack"/>
      <w:bookmarkEnd w:id="3"/>
      <w:r w:rsidR="004E2A7A">
        <w:rPr>
          <w:b w:val="0"/>
          <w:sz w:val="22"/>
          <w:lang w:val="en-US"/>
        </w:rPr>
        <w:t xml:space="preserve">wever, in this case, the HO event may occur </w:t>
      </w:r>
      <w:r w:rsidR="004E2A7A">
        <w:rPr>
          <w:rFonts w:hint="eastAsia"/>
          <w:b w:val="0"/>
          <w:sz w:val="22"/>
          <w:lang w:val="en-US"/>
        </w:rPr>
        <w:t>more frequently</w:t>
      </w:r>
      <w:r w:rsidR="004E2A7A">
        <w:rPr>
          <w:b w:val="0"/>
          <w:sz w:val="22"/>
          <w:lang w:val="en-US"/>
        </w:rPr>
        <w:t xml:space="preserve"> compared to L3-based HO </w:t>
      </w:r>
      <w:r w:rsidR="00F87FCA">
        <w:rPr>
          <w:b w:val="0"/>
          <w:sz w:val="22"/>
          <w:lang w:val="en-US"/>
        </w:rPr>
        <w:t>due to its short-term</w:t>
      </w:r>
      <w:r w:rsidR="004E2A7A">
        <w:rPr>
          <w:b w:val="0"/>
          <w:sz w:val="22"/>
          <w:lang w:val="en-US"/>
        </w:rPr>
        <w:t xml:space="preserve"> property</w:t>
      </w:r>
      <w:r w:rsidR="00F87FCA">
        <w:rPr>
          <w:b w:val="0"/>
          <w:sz w:val="22"/>
          <w:lang w:val="en-US"/>
        </w:rPr>
        <w:t xml:space="preserve"> on the beam quality</w:t>
      </w:r>
      <w:r w:rsidR="00293BEE">
        <w:rPr>
          <w:b w:val="0"/>
          <w:sz w:val="22"/>
          <w:lang w:val="en-US"/>
        </w:rPr>
        <w:t xml:space="preserve"> and </w:t>
      </w:r>
      <w:r w:rsidR="002A1C72">
        <w:rPr>
          <w:b w:val="0"/>
          <w:sz w:val="22"/>
          <w:lang w:val="en-US"/>
        </w:rPr>
        <w:t xml:space="preserve">this report is needed only when HO event occurs so </w:t>
      </w:r>
      <w:r w:rsidR="005E640E">
        <w:rPr>
          <w:b w:val="0"/>
          <w:sz w:val="22"/>
          <w:lang w:val="en-US"/>
        </w:rPr>
        <w:t xml:space="preserve">the details on </w:t>
      </w:r>
      <w:r w:rsidR="00BF1F2A">
        <w:rPr>
          <w:b w:val="0"/>
          <w:sz w:val="22"/>
          <w:lang w:val="en-US"/>
        </w:rPr>
        <w:t xml:space="preserve">L1 event-based </w:t>
      </w:r>
      <w:r w:rsidR="005E640E">
        <w:rPr>
          <w:b w:val="0"/>
          <w:sz w:val="22"/>
          <w:lang w:val="en-US"/>
        </w:rPr>
        <w:t>reporting should</w:t>
      </w:r>
      <w:r w:rsidR="00B95862">
        <w:rPr>
          <w:b w:val="0"/>
          <w:sz w:val="22"/>
          <w:lang w:val="en-US"/>
        </w:rPr>
        <w:t xml:space="preserve"> also</w:t>
      </w:r>
      <w:r w:rsidR="005E640E">
        <w:rPr>
          <w:b w:val="0"/>
          <w:sz w:val="22"/>
          <w:lang w:val="en-US"/>
        </w:rPr>
        <w:t xml:space="preserve"> be investigated to contain the beam information of NSCell(s)</w:t>
      </w:r>
      <w:r w:rsidR="002A1C72">
        <w:rPr>
          <w:b w:val="0"/>
          <w:sz w:val="22"/>
          <w:lang w:val="en-US"/>
        </w:rPr>
        <w:t>, e.g. by BFR-like reporting or by accommodating it in a regular beam report</w:t>
      </w:r>
      <w:r w:rsidR="005E640E">
        <w:rPr>
          <w:b w:val="0"/>
          <w:sz w:val="22"/>
          <w:lang w:val="en-US"/>
        </w:rPr>
        <w:t>.</w:t>
      </w:r>
      <w:r w:rsidR="00E12ABC">
        <w:rPr>
          <w:b w:val="0"/>
          <w:sz w:val="22"/>
          <w:lang w:val="en-US"/>
        </w:rPr>
        <w:t xml:space="preserve"> </w:t>
      </w:r>
      <w:r w:rsidR="00FA51B0">
        <w:rPr>
          <w:b w:val="0"/>
          <w:sz w:val="22"/>
          <w:lang w:val="en-US"/>
        </w:rPr>
        <w:t>Considering the spec impact</w:t>
      </w:r>
      <w:r w:rsidR="00EE5CBF">
        <w:rPr>
          <w:b w:val="0"/>
          <w:sz w:val="22"/>
          <w:lang w:val="en-US"/>
        </w:rPr>
        <w:t xml:space="preserve">, </w:t>
      </w:r>
      <w:r w:rsidR="00100117">
        <w:rPr>
          <w:b w:val="0"/>
          <w:sz w:val="22"/>
          <w:lang w:val="en-US"/>
        </w:rPr>
        <w:t xml:space="preserve">it is still questionable </w:t>
      </w:r>
      <w:r w:rsidR="00B95862">
        <w:rPr>
          <w:rFonts w:hint="eastAsia"/>
          <w:b w:val="0"/>
          <w:sz w:val="22"/>
          <w:lang w:val="en-US"/>
        </w:rPr>
        <w:t xml:space="preserve">on </w:t>
      </w:r>
      <w:r w:rsidR="00B95862">
        <w:rPr>
          <w:b w:val="0"/>
          <w:sz w:val="22"/>
          <w:lang w:val="en-US"/>
        </w:rPr>
        <w:t xml:space="preserve">the benefit of </w:t>
      </w:r>
      <w:r w:rsidR="00100117">
        <w:rPr>
          <w:b w:val="0"/>
          <w:sz w:val="22"/>
          <w:lang w:val="en-US"/>
        </w:rPr>
        <w:t>modify</w:t>
      </w:r>
      <w:r w:rsidR="00B95862">
        <w:rPr>
          <w:b w:val="0"/>
          <w:sz w:val="22"/>
          <w:lang w:val="en-US"/>
        </w:rPr>
        <w:t>ing</w:t>
      </w:r>
      <w:r w:rsidR="00100117">
        <w:rPr>
          <w:b w:val="0"/>
          <w:sz w:val="22"/>
          <w:lang w:val="en-US"/>
        </w:rPr>
        <w:t>/enhanc</w:t>
      </w:r>
      <w:r w:rsidR="00B95862">
        <w:rPr>
          <w:b w:val="0"/>
          <w:sz w:val="22"/>
          <w:lang w:val="en-US"/>
        </w:rPr>
        <w:t>ing</w:t>
      </w:r>
      <w:r w:rsidR="00100117">
        <w:rPr>
          <w:b w:val="0"/>
          <w:sz w:val="22"/>
          <w:lang w:val="en-US"/>
        </w:rPr>
        <w:t xml:space="preserve"> the HO</w:t>
      </w:r>
      <w:r w:rsidR="00B035AE">
        <w:rPr>
          <w:b w:val="0"/>
          <w:sz w:val="22"/>
          <w:lang w:val="en-US"/>
        </w:rPr>
        <w:t xml:space="preserve"> procedure</w:t>
      </w:r>
      <w:r w:rsidR="00100117">
        <w:rPr>
          <w:b w:val="0"/>
          <w:sz w:val="22"/>
          <w:lang w:val="en-US"/>
        </w:rPr>
        <w:t xml:space="preserve"> as above </w:t>
      </w:r>
      <w:r w:rsidR="00B95862">
        <w:rPr>
          <w:b w:val="0"/>
          <w:sz w:val="22"/>
          <w:lang w:val="en-US"/>
        </w:rPr>
        <w:t xml:space="preserve">comparing with </w:t>
      </w:r>
      <w:r w:rsidR="00FA51B0">
        <w:rPr>
          <w:b w:val="0"/>
          <w:sz w:val="22"/>
          <w:lang w:val="en-US"/>
        </w:rPr>
        <w:t xml:space="preserve">the proposed enhancement </w:t>
      </w:r>
      <w:r w:rsidR="00B95862">
        <w:rPr>
          <w:b w:val="0"/>
          <w:sz w:val="22"/>
          <w:lang w:val="en-US"/>
        </w:rPr>
        <w:t>that the</w:t>
      </w:r>
      <w:r w:rsidR="00100117">
        <w:rPr>
          <w:b w:val="0"/>
          <w:sz w:val="22"/>
          <w:lang w:val="en-US"/>
        </w:rPr>
        <w:t xml:space="preserve"> serving cell </w:t>
      </w:r>
      <w:r w:rsidR="00B95862">
        <w:rPr>
          <w:b w:val="0"/>
          <w:sz w:val="22"/>
          <w:lang w:val="en-US"/>
        </w:rPr>
        <w:t>can</w:t>
      </w:r>
      <w:r w:rsidR="00100117">
        <w:rPr>
          <w:b w:val="0"/>
          <w:sz w:val="22"/>
          <w:lang w:val="en-US"/>
        </w:rPr>
        <w:t xml:space="preserve"> receive the beam reporting </w:t>
      </w:r>
      <w:r w:rsidR="00B035AE">
        <w:rPr>
          <w:b w:val="0"/>
          <w:sz w:val="22"/>
          <w:lang w:val="en-US"/>
        </w:rPr>
        <w:t xml:space="preserve">of </w:t>
      </w:r>
      <w:r w:rsidR="00100117">
        <w:rPr>
          <w:b w:val="0"/>
          <w:sz w:val="22"/>
          <w:lang w:val="en-US"/>
        </w:rPr>
        <w:t xml:space="preserve">NSCell(s) </w:t>
      </w:r>
      <w:r w:rsidR="00B95862">
        <w:rPr>
          <w:b w:val="0"/>
          <w:sz w:val="22"/>
          <w:lang w:val="en-US"/>
        </w:rPr>
        <w:t>simply by allowing PCI</w:t>
      </w:r>
      <w:r w:rsidR="003D213A">
        <w:rPr>
          <w:b w:val="0"/>
          <w:sz w:val="22"/>
          <w:lang w:val="en-US"/>
        </w:rPr>
        <w:t xml:space="preserve"> to be configured with/to TCI or spatial relation in regular beam management procedures.</w:t>
      </w:r>
    </w:p>
    <w:p w14:paraId="1A0950BC" w14:textId="77777777" w:rsidR="009E4498" w:rsidRPr="00E12ABC" w:rsidRDefault="009E4498" w:rsidP="009E4498">
      <w:pPr>
        <w:pStyle w:val="LGTdoc1"/>
        <w:snapToGrid/>
        <w:spacing w:beforeLines="0" w:before="100" w:beforeAutospacing="1" w:line="360" w:lineRule="auto"/>
        <w:contextualSpacing/>
        <w:rPr>
          <w:b w:val="0"/>
          <w:sz w:val="22"/>
          <w:lang w:val="en-US"/>
        </w:rPr>
      </w:pPr>
    </w:p>
    <w:p w14:paraId="6D99C4AE" w14:textId="3143268F" w:rsidR="003A717B" w:rsidRPr="00301BA0" w:rsidRDefault="003A717B" w:rsidP="00301BA0">
      <w:pPr>
        <w:pStyle w:val="1"/>
        <w:numPr>
          <w:ilvl w:val="1"/>
          <w:numId w:val="1"/>
        </w:numPr>
        <w:tabs>
          <w:tab w:val="left" w:pos="851"/>
        </w:tabs>
        <w:spacing w:before="240"/>
        <w:ind w:left="851" w:hanging="865"/>
        <w:rPr>
          <w:rFonts w:eastAsiaTheme="minorEastAsia"/>
        </w:rPr>
      </w:pPr>
      <w:r>
        <w:t>Dynamic TCI state update signaling medium</w:t>
      </w:r>
    </w:p>
    <w:tbl>
      <w:tblPr>
        <w:tblStyle w:val="a7"/>
        <w:tblW w:w="0" w:type="auto"/>
        <w:tblLook w:val="04A0" w:firstRow="1" w:lastRow="0" w:firstColumn="1" w:lastColumn="0" w:noHBand="0" w:noVBand="1"/>
      </w:tblPr>
      <w:tblGrid>
        <w:gridCol w:w="9016"/>
      </w:tblGrid>
      <w:tr w:rsidR="003A717B" w14:paraId="1B9DAC04" w14:textId="77777777" w:rsidTr="003A717B">
        <w:tc>
          <w:tcPr>
            <w:tcW w:w="9016" w:type="dxa"/>
          </w:tcPr>
          <w:p w14:paraId="55FD70A3" w14:textId="77777777" w:rsidR="003A717B" w:rsidRPr="003A717B" w:rsidRDefault="003A717B" w:rsidP="003A717B">
            <w:pPr>
              <w:widowControl/>
              <w:wordWrap/>
              <w:autoSpaceDE/>
              <w:spacing w:after="0"/>
              <w:rPr>
                <w:rFonts w:ascii="Times" w:eastAsia="맑은 고딕" w:hAnsi="Times" w:cs="Times"/>
                <w:b/>
                <w:bCs/>
                <w:highlight w:val="green"/>
                <w:lang w:val="en-GB" w:eastAsia="x-none"/>
              </w:rPr>
            </w:pPr>
            <w:r w:rsidRPr="003A717B">
              <w:rPr>
                <w:rFonts w:ascii="Times" w:eastAsia="맑은 고딕" w:hAnsi="Times" w:cs="Times"/>
                <w:b/>
                <w:bCs/>
                <w:highlight w:val="green"/>
                <w:lang w:val="en-GB" w:eastAsia="x-none"/>
              </w:rPr>
              <w:t>Agreement</w:t>
            </w:r>
          </w:p>
          <w:p w14:paraId="76D6F0C2" w14:textId="77777777" w:rsidR="003A717B" w:rsidRPr="003A717B" w:rsidRDefault="003A717B" w:rsidP="003A717B">
            <w:pPr>
              <w:widowControl/>
              <w:numPr>
                <w:ilvl w:val="0"/>
                <w:numId w:val="45"/>
              </w:numPr>
              <w:wordWrap/>
              <w:autoSpaceDE/>
              <w:snapToGrid w:val="0"/>
              <w:spacing w:after="0"/>
              <w:contextualSpacing/>
              <w:rPr>
                <w:rFonts w:eastAsia="맑은 고딕"/>
                <w:lang w:val="en-GB" w:eastAsia="x-none"/>
              </w:rPr>
            </w:pPr>
            <w:r w:rsidRPr="003A717B">
              <w:rPr>
                <w:rFonts w:eastAsia="맑은 고딕"/>
                <w:lang w:val="en-GB" w:eastAsia="x-none"/>
              </w:rPr>
              <w:t xml:space="preserve">[Issue 3] For Rel.17 NR FeMIMO, on dynamic TCI state update signaling medium: </w:t>
            </w:r>
          </w:p>
          <w:p w14:paraId="2EDF309F" w14:textId="77777777" w:rsidR="003A717B" w:rsidRPr="003A717B" w:rsidRDefault="003A717B" w:rsidP="003A717B">
            <w:pPr>
              <w:widowControl/>
              <w:numPr>
                <w:ilvl w:val="1"/>
                <w:numId w:val="45"/>
              </w:numPr>
              <w:wordWrap/>
              <w:autoSpaceDE/>
              <w:snapToGrid w:val="0"/>
              <w:spacing w:after="0"/>
              <w:contextualSpacing/>
              <w:rPr>
                <w:rFonts w:eastAsia="맑은 고딕"/>
                <w:lang w:val="en-GB" w:eastAsia="x-none"/>
              </w:rPr>
            </w:pPr>
            <w:r w:rsidRPr="003A717B">
              <w:rPr>
                <w:rFonts w:eastAsia="맑은 고딕"/>
                <w:lang w:val="en-GB" w:eastAsia="x-none"/>
              </w:rPr>
              <w:t>In RAN1#103-e, investigate, for the purpose of down selection, the following alternatives:</w:t>
            </w:r>
          </w:p>
          <w:p w14:paraId="43591E33" w14:textId="77777777" w:rsidR="003A717B" w:rsidRPr="003A717B" w:rsidRDefault="003A717B" w:rsidP="003A717B">
            <w:pPr>
              <w:widowControl/>
              <w:numPr>
                <w:ilvl w:val="2"/>
                <w:numId w:val="45"/>
              </w:numPr>
              <w:wordWrap/>
              <w:autoSpaceDE/>
              <w:snapToGrid w:val="0"/>
              <w:spacing w:after="0"/>
              <w:contextualSpacing/>
              <w:rPr>
                <w:rFonts w:eastAsia="맑은 고딕"/>
                <w:lang w:val="en-GB" w:eastAsia="x-none"/>
              </w:rPr>
            </w:pPr>
            <w:r w:rsidRPr="003A717B">
              <w:rPr>
                <w:rFonts w:eastAsia="맑은 고딕"/>
                <w:lang w:val="en-GB" w:eastAsia="x-none"/>
              </w:rPr>
              <w:t>Alt1. DCI</w:t>
            </w:r>
          </w:p>
          <w:p w14:paraId="4CE86D95" w14:textId="77777777" w:rsidR="003A717B" w:rsidRPr="003A717B" w:rsidRDefault="003A717B" w:rsidP="003A717B">
            <w:pPr>
              <w:widowControl/>
              <w:numPr>
                <w:ilvl w:val="2"/>
                <w:numId w:val="45"/>
              </w:numPr>
              <w:wordWrap/>
              <w:autoSpaceDE/>
              <w:snapToGrid w:val="0"/>
              <w:spacing w:after="0"/>
              <w:contextualSpacing/>
              <w:rPr>
                <w:rFonts w:eastAsia="맑은 고딕"/>
                <w:lang w:val="en-GB" w:eastAsia="x-none"/>
              </w:rPr>
            </w:pPr>
            <w:r w:rsidRPr="003A717B">
              <w:rPr>
                <w:rFonts w:eastAsia="맑은 고딕"/>
                <w:lang w:val="en-GB" w:eastAsia="x-none"/>
              </w:rPr>
              <w:t>Alt2. MAC CE</w:t>
            </w:r>
          </w:p>
          <w:p w14:paraId="0BC0CBEB" w14:textId="77777777" w:rsidR="003A717B" w:rsidRPr="003A717B" w:rsidRDefault="003A717B" w:rsidP="003A717B">
            <w:pPr>
              <w:widowControl/>
              <w:numPr>
                <w:ilvl w:val="2"/>
                <w:numId w:val="45"/>
              </w:numPr>
              <w:wordWrap/>
              <w:autoSpaceDE/>
              <w:snapToGrid w:val="0"/>
              <w:spacing w:after="0"/>
              <w:contextualSpacing/>
              <w:rPr>
                <w:rFonts w:eastAsia="맑은 고딕"/>
                <w:lang w:val="en-GB" w:eastAsia="x-none"/>
              </w:rPr>
            </w:pPr>
            <w:r w:rsidRPr="003A717B">
              <w:rPr>
                <w:rFonts w:eastAsia="맑은 고딕"/>
                <w:lang w:val="en-GB" w:eastAsia="x-none"/>
              </w:rPr>
              <w:t xml:space="preserve">Note: Combination between DCI and MAC CE for, e.g. different use cases or control information partitioning can also be considered </w:t>
            </w:r>
          </w:p>
          <w:p w14:paraId="7E5BA13A" w14:textId="77777777" w:rsidR="003A717B" w:rsidRPr="003A717B" w:rsidRDefault="003A717B" w:rsidP="003A717B">
            <w:pPr>
              <w:widowControl/>
              <w:numPr>
                <w:ilvl w:val="2"/>
                <w:numId w:val="45"/>
              </w:numPr>
              <w:wordWrap/>
              <w:autoSpaceDE/>
              <w:snapToGrid w:val="0"/>
              <w:spacing w:after="0"/>
              <w:contextualSpacing/>
              <w:rPr>
                <w:rFonts w:eastAsia="맑은 고딕"/>
                <w:lang w:val="en-GB" w:eastAsia="x-none"/>
              </w:rPr>
            </w:pPr>
            <w:r w:rsidRPr="003A717B">
              <w:rPr>
                <w:rFonts w:eastAsia="맑은 고딕"/>
                <w:lang w:val="en-GB" w:eastAsia="x-none"/>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1C452A61" w14:textId="77777777" w:rsidR="003A717B" w:rsidRPr="003A717B" w:rsidRDefault="003A717B" w:rsidP="003A717B">
            <w:pPr>
              <w:widowControl/>
              <w:numPr>
                <w:ilvl w:val="2"/>
                <w:numId w:val="45"/>
              </w:numPr>
              <w:wordWrap/>
              <w:autoSpaceDE/>
              <w:snapToGrid w:val="0"/>
              <w:spacing w:after="0"/>
              <w:contextualSpacing/>
              <w:rPr>
                <w:rFonts w:eastAsia="맑은 고딕"/>
                <w:lang w:val="en-GB" w:eastAsia="x-none"/>
              </w:rPr>
            </w:pPr>
            <w:r w:rsidRPr="003A717B">
              <w:rPr>
                <w:rFonts w:eastAsia="맑은 고딕"/>
                <w:lang w:val="en-GB" w:eastAsia="x-none"/>
              </w:rPr>
              <w:t>Note: This may be related to outcome of issue 1a), 1b), and 6a)</w:t>
            </w:r>
          </w:p>
          <w:p w14:paraId="24778BE7" w14:textId="77777777" w:rsidR="003A717B" w:rsidRPr="003A717B" w:rsidRDefault="003A717B" w:rsidP="003A717B">
            <w:pPr>
              <w:widowControl/>
              <w:numPr>
                <w:ilvl w:val="1"/>
                <w:numId w:val="45"/>
              </w:numPr>
              <w:wordWrap/>
              <w:autoSpaceDE/>
              <w:snapToGrid w:val="0"/>
              <w:spacing w:after="0"/>
              <w:contextualSpacing/>
              <w:rPr>
                <w:rFonts w:eastAsia="맑은 고딕"/>
                <w:lang w:val="en-GB" w:eastAsia="x-none"/>
              </w:rPr>
            </w:pPr>
            <w:r w:rsidRPr="003A717B">
              <w:rPr>
                <w:rFonts w:eastAsia="맑은 고딕"/>
                <w:lang w:val="en-GB" w:eastAsia="x-none"/>
              </w:rPr>
              <w:t xml:space="preserve">In RAN1#103-e, depending on the outcome of 3a), identify candidates for more detailed design issues for the dynamic TCI state update such as </w:t>
            </w:r>
          </w:p>
          <w:p w14:paraId="193EED65" w14:textId="77777777" w:rsidR="003A717B" w:rsidRPr="003A717B" w:rsidRDefault="003A717B" w:rsidP="003A717B">
            <w:pPr>
              <w:widowControl/>
              <w:numPr>
                <w:ilvl w:val="2"/>
                <w:numId w:val="45"/>
              </w:numPr>
              <w:wordWrap/>
              <w:autoSpaceDE/>
              <w:snapToGrid w:val="0"/>
              <w:spacing w:after="0"/>
              <w:contextualSpacing/>
              <w:rPr>
                <w:rFonts w:eastAsia="맑은 고딕"/>
                <w:lang w:val="en-GB" w:eastAsia="x-none"/>
              </w:rPr>
            </w:pPr>
            <w:r w:rsidRPr="003A717B">
              <w:rPr>
                <w:rFonts w:eastAsia="맑은 고딕"/>
                <w:lang w:val="en-GB" w:eastAsia="x-none"/>
              </w:rPr>
              <w:t xml:space="preserve">Exact content </w:t>
            </w:r>
          </w:p>
          <w:p w14:paraId="1E25F251" w14:textId="77777777" w:rsidR="003A717B" w:rsidRPr="003A717B" w:rsidRDefault="003A717B" w:rsidP="003A717B">
            <w:pPr>
              <w:widowControl/>
              <w:numPr>
                <w:ilvl w:val="2"/>
                <w:numId w:val="45"/>
              </w:numPr>
              <w:wordWrap/>
              <w:autoSpaceDE/>
              <w:snapToGrid w:val="0"/>
              <w:spacing w:after="0"/>
              <w:contextualSpacing/>
              <w:rPr>
                <w:rFonts w:eastAsia="맑은 고딕"/>
                <w:lang w:val="en-GB" w:eastAsia="x-none"/>
              </w:rPr>
            </w:pPr>
            <w:r w:rsidRPr="003A717B">
              <w:rPr>
                <w:rFonts w:eastAsia="맑은 고딕"/>
                <w:lang w:val="en-GB" w:eastAsia="x-none"/>
              </w:rPr>
              <w:t xml:space="preserve">Signaling format </w:t>
            </w:r>
          </w:p>
          <w:p w14:paraId="6C791EEE" w14:textId="77777777" w:rsidR="003A717B" w:rsidRPr="003A717B" w:rsidRDefault="003A717B" w:rsidP="003A717B">
            <w:pPr>
              <w:widowControl/>
              <w:numPr>
                <w:ilvl w:val="2"/>
                <w:numId w:val="45"/>
              </w:numPr>
              <w:wordWrap/>
              <w:autoSpaceDE/>
              <w:snapToGrid w:val="0"/>
              <w:spacing w:after="0"/>
              <w:contextualSpacing/>
              <w:rPr>
                <w:b/>
                <w:sz w:val="22"/>
              </w:rPr>
            </w:pPr>
            <w:r w:rsidRPr="003A717B">
              <w:rPr>
                <w:rFonts w:eastAsia="맑은 고딕"/>
                <w:lang w:val="en-GB" w:eastAsia="x-none"/>
              </w:rPr>
              <w:t>Reliability aspects including the support of retransmission</w:t>
            </w:r>
          </w:p>
          <w:p w14:paraId="447A1C54" w14:textId="7DA49442" w:rsidR="003A717B" w:rsidRDefault="003A717B" w:rsidP="003A717B">
            <w:pPr>
              <w:widowControl/>
              <w:numPr>
                <w:ilvl w:val="2"/>
                <w:numId w:val="45"/>
              </w:numPr>
              <w:wordWrap/>
              <w:autoSpaceDE/>
              <w:snapToGrid w:val="0"/>
              <w:spacing w:after="0"/>
              <w:contextualSpacing/>
              <w:rPr>
                <w:b/>
                <w:sz w:val="22"/>
              </w:rPr>
            </w:pPr>
            <w:r w:rsidRPr="003A717B">
              <w:rPr>
                <w:rFonts w:eastAsia="맑은 고딕"/>
                <w:lang w:eastAsia="x-none"/>
              </w:rPr>
              <w:t>Extensions, including the support of UE-group (in contrast to UE-dedicated) signaling</w:t>
            </w:r>
          </w:p>
        </w:tc>
      </w:tr>
    </w:tbl>
    <w:p w14:paraId="0BDBF49E" w14:textId="148B6D6C" w:rsidR="00006D88" w:rsidRDefault="003D213A" w:rsidP="004A1624">
      <w:pPr>
        <w:pStyle w:val="LGTdoc1"/>
        <w:snapToGrid/>
        <w:spacing w:beforeLines="0" w:before="100" w:beforeAutospacing="1" w:line="360" w:lineRule="auto"/>
        <w:ind w:firstLineChars="146" w:firstLine="321"/>
        <w:contextualSpacing/>
        <w:rPr>
          <w:b w:val="0"/>
          <w:sz w:val="22"/>
          <w:lang w:val="en-US"/>
        </w:rPr>
      </w:pPr>
      <w:r>
        <w:rPr>
          <w:b w:val="0"/>
          <w:sz w:val="22"/>
          <w:lang w:val="en-US"/>
        </w:rPr>
        <w:t>Regarding DCI or MAC-CE based mechanisms, the pros and cons of each method is well known. DCI is faster but less robust</w:t>
      </w:r>
      <w:r w:rsidR="008E0999">
        <w:rPr>
          <w:b w:val="0"/>
          <w:sz w:val="22"/>
          <w:lang w:val="en-US"/>
        </w:rPr>
        <w:t xml:space="preserve"> than MAC-CE</w:t>
      </w:r>
      <w:r>
        <w:rPr>
          <w:b w:val="0"/>
          <w:sz w:val="22"/>
          <w:lang w:val="en-US"/>
        </w:rPr>
        <w:t xml:space="preserve"> un</w:t>
      </w:r>
      <w:r w:rsidR="008E0999">
        <w:rPr>
          <w:b w:val="0"/>
          <w:sz w:val="22"/>
          <w:lang w:val="en-US"/>
        </w:rPr>
        <w:t>less ACK for DCI is introduced</w:t>
      </w:r>
      <w:r>
        <w:rPr>
          <w:b w:val="0"/>
          <w:sz w:val="22"/>
          <w:lang w:val="en-US"/>
        </w:rPr>
        <w:t>.</w:t>
      </w:r>
      <w:r w:rsidR="008E0999">
        <w:rPr>
          <w:b w:val="0"/>
          <w:sz w:val="22"/>
          <w:lang w:val="en-US"/>
        </w:rPr>
        <w:t xml:space="preserve"> In our view, it is also possible to use existing DCI or MAC-CE based TCI/spatial relation indication specified for PDSCH/PUSCH for the purpose of dynamic TCI update for multiple different DL/UL channels if BLS is introduced as proposed in Proposal#2. </w:t>
      </w:r>
      <w:r w:rsidR="007F0AE8">
        <w:rPr>
          <w:b w:val="0"/>
          <w:sz w:val="22"/>
          <w:lang w:val="en-US"/>
        </w:rPr>
        <w:t xml:space="preserve">Currently, </w:t>
      </w:r>
      <w:r w:rsidR="00A77720">
        <w:rPr>
          <w:b w:val="0"/>
          <w:sz w:val="22"/>
          <w:lang w:val="en-US"/>
        </w:rPr>
        <w:t xml:space="preserve">PDSCH/PUSCH beam can be updated by DCI using TCI/SRI field but PUCCH/PDCCH beam can be updated by RRC/MAC-CE only. </w:t>
      </w:r>
      <w:r w:rsidR="00957CD6">
        <w:rPr>
          <w:b w:val="0"/>
          <w:sz w:val="22"/>
          <w:lang w:val="en-US"/>
        </w:rPr>
        <w:t xml:space="preserve">In practice, gNB will choose a best beam for the UE for PDSCH/PUSCH by most recent measurement, e.g. by aperiodic beam report or aperiodic SRS transmission and the same beam RS is likely to be updated for PDCCH/PUCCH by separated </w:t>
      </w:r>
      <w:r w:rsidR="003724D7">
        <w:rPr>
          <w:b w:val="0"/>
          <w:sz w:val="22"/>
          <w:lang w:val="en-US"/>
        </w:rPr>
        <w:t>RRC/</w:t>
      </w:r>
      <w:r w:rsidR="00957CD6">
        <w:rPr>
          <w:b w:val="0"/>
          <w:sz w:val="22"/>
          <w:lang w:val="en-US"/>
        </w:rPr>
        <w:t>MAC-CE signaling which is often redundant. There</w:t>
      </w:r>
      <w:r w:rsidR="00D44704">
        <w:rPr>
          <w:b w:val="0"/>
          <w:sz w:val="22"/>
          <w:lang w:val="en-US"/>
        </w:rPr>
        <w:t xml:space="preserve">fore, it is considerable to support automatic update of the </w:t>
      </w:r>
      <w:r w:rsidR="00957CD6">
        <w:rPr>
          <w:b w:val="0"/>
          <w:sz w:val="22"/>
          <w:lang w:val="en-US"/>
        </w:rPr>
        <w:t>PU</w:t>
      </w:r>
      <w:r w:rsidR="00D44704">
        <w:rPr>
          <w:b w:val="0"/>
          <w:sz w:val="22"/>
          <w:lang w:val="en-US"/>
        </w:rPr>
        <w:t>C</w:t>
      </w:r>
      <w:r w:rsidR="00957CD6">
        <w:rPr>
          <w:b w:val="0"/>
          <w:sz w:val="22"/>
          <w:lang w:val="en-US"/>
        </w:rPr>
        <w:t xml:space="preserve">CH spatial relation from </w:t>
      </w:r>
      <w:r w:rsidR="00D44704">
        <w:rPr>
          <w:b w:val="0"/>
          <w:sz w:val="22"/>
          <w:lang w:val="en-US"/>
        </w:rPr>
        <w:t xml:space="preserve">the updated spatial relation for PUSCH, and update of the CORESET QCL type-D RS from the updated QCL type-D RS for PDSCH, which would reduce signaling overhead and latency for updating beam RS for control </w:t>
      </w:r>
      <w:r w:rsidR="00E00D08">
        <w:rPr>
          <w:b w:val="0"/>
          <w:sz w:val="22"/>
          <w:lang w:val="en-US"/>
        </w:rPr>
        <w:t>channels</w:t>
      </w:r>
      <w:r w:rsidR="00D44704">
        <w:rPr>
          <w:b w:val="0"/>
          <w:sz w:val="22"/>
          <w:lang w:val="en-US"/>
        </w:rPr>
        <w:t xml:space="preserve">. </w:t>
      </w:r>
      <w:r w:rsidR="00957CD6">
        <w:rPr>
          <w:b w:val="0"/>
          <w:sz w:val="22"/>
          <w:lang w:val="en-US"/>
        </w:rPr>
        <w:t xml:space="preserve">For example, </w:t>
      </w:r>
      <w:r w:rsidR="00D44704">
        <w:rPr>
          <w:b w:val="0"/>
          <w:sz w:val="22"/>
          <w:lang w:val="en-US"/>
        </w:rPr>
        <w:t>the</w:t>
      </w:r>
      <w:r w:rsidR="00E00D08">
        <w:rPr>
          <w:b w:val="0"/>
          <w:sz w:val="22"/>
          <w:lang w:val="en-US"/>
        </w:rPr>
        <w:t xml:space="preserve"> spatial relation of a</w:t>
      </w:r>
      <w:r w:rsidR="00957CD6">
        <w:rPr>
          <w:b w:val="0"/>
          <w:sz w:val="22"/>
          <w:lang w:val="en-US"/>
        </w:rPr>
        <w:t xml:space="preserve"> PUCCH resource for </w:t>
      </w:r>
      <w:r w:rsidR="00D44704">
        <w:rPr>
          <w:b w:val="0"/>
          <w:sz w:val="22"/>
          <w:lang w:val="en-US"/>
        </w:rPr>
        <w:t xml:space="preserve">a </w:t>
      </w:r>
      <w:r w:rsidR="00957CD6">
        <w:rPr>
          <w:b w:val="0"/>
          <w:sz w:val="22"/>
          <w:lang w:val="en-US"/>
        </w:rPr>
        <w:t xml:space="preserve">periodic CSI reporting </w:t>
      </w:r>
      <w:r w:rsidR="00D44704">
        <w:rPr>
          <w:b w:val="0"/>
          <w:sz w:val="22"/>
          <w:lang w:val="en-US"/>
        </w:rPr>
        <w:t xml:space="preserve">can be updated whenever PUSCH beam is </w:t>
      </w:r>
      <w:r w:rsidR="00E00D08">
        <w:rPr>
          <w:b w:val="0"/>
          <w:sz w:val="22"/>
          <w:lang w:val="en-US"/>
        </w:rPr>
        <w:t xml:space="preserve">updated </w:t>
      </w:r>
      <w:r w:rsidR="00D44704">
        <w:rPr>
          <w:b w:val="0"/>
          <w:sz w:val="22"/>
          <w:lang w:val="en-US"/>
        </w:rPr>
        <w:t>by UL DCI.</w:t>
      </w:r>
      <w:r w:rsidR="00957CD6">
        <w:rPr>
          <w:b w:val="0"/>
          <w:sz w:val="22"/>
          <w:lang w:val="en-US"/>
        </w:rPr>
        <w:t xml:space="preserve"> </w:t>
      </w:r>
    </w:p>
    <w:p w14:paraId="339CA0BE" w14:textId="77777777" w:rsidR="0085684A" w:rsidRDefault="0085684A" w:rsidP="0085684A">
      <w:pPr>
        <w:pStyle w:val="LGTdoc1"/>
        <w:snapToGrid/>
        <w:spacing w:beforeLines="0" w:before="100" w:beforeAutospacing="1" w:line="360" w:lineRule="auto"/>
        <w:contextualSpacing/>
        <w:rPr>
          <w:sz w:val="22"/>
        </w:rPr>
      </w:pPr>
    </w:p>
    <w:p w14:paraId="021CDDFB" w14:textId="63A55185" w:rsidR="009B7096" w:rsidRDefault="00B42AC8" w:rsidP="0085684A">
      <w:pPr>
        <w:pStyle w:val="LGTdoc1"/>
        <w:snapToGrid/>
        <w:spacing w:beforeLines="0" w:before="100" w:beforeAutospacing="1" w:line="360" w:lineRule="auto"/>
        <w:contextualSpacing/>
        <w:rPr>
          <w:sz w:val="22"/>
        </w:rPr>
      </w:pPr>
      <w:r w:rsidRPr="0085684A">
        <w:rPr>
          <w:sz w:val="22"/>
        </w:rPr>
        <w:t>Proposal #</w:t>
      </w:r>
      <w:r w:rsidR="0085684A">
        <w:rPr>
          <w:sz w:val="22"/>
        </w:rPr>
        <w:t>7</w:t>
      </w:r>
      <w:r w:rsidRPr="0085684A">
        <w:rPr>
          <w:sz w:val="22"/>
        </w:rPr>
        <w:t xml:space="preserve">. </w:t>
      </w:r>
      <w:r w:rsidR="003724D7">
        <w:rPr>
          <w:sz w:val="22"/>
        </w:rPr>
        <w:t>Support</w:t>
      </w:r>
      <w:r w:rsidR="00D44704" w:rsidRPr="0085684A">
        <w:rPr>
          <w:sz w:val="22"/>
        </w:rPr>
        <w:t xml:space="preserve"> </w:t>
      </w:r>
      <w:r w:rsidR="002A1C72" w:rsidRPr="0085684A">
        <w:rPr>
          <w:sz w:val="22"/>
        </w:rPr>
        <w:t>updat</w:t>
      </w:r>
      <w:r w:rsidR="002A1C72">
        <w:rPr>
          <w:sz w:val="22"/>
        </w:rPr>
        <w:t>ing</w:t>
      </w:r>
      <w:r w:rsidR="002A1C72" w:rsidRPr="0085684A">
        <w:rPr>
          <w:sz w:val="22"/>
        </w:rPr>
        <w:t xml:space="preserve"> </w:t>
      </w:r>
      <w:r w:rsidR="001F3AAD">
        <w:rPr>
          <w:sz w:val="22"/>
        </w:rPr>
        <w:t>TCI</w:t>
      </w:r>
      <w:r w:rsidR="00D44704" w:rsidRPr="0085684A">
        <w:rPr>
          <w:sz w:val="22"/>
        </w:rPr>
        <w:t xml:space="preserve"> for </w:t>
      </w:r>
      <w:r w:rsidR="00C50BF6" w:rsidRPr="0085684A">
        <w:rPr>
          <w:sz w:val="22"/>
        </w:rPr>
        <w:t>PDCCH</w:t>
      </w:r>
      <w:r w:rsidR="00D44704" w:rsidRPr="0085684A">
        <w:rPr>
          <w:sz w:val="22"/>
        </w:rPr>
        <w:t xml:space="preserve">/PUCCH by the dynamically updated </w:t>
      </w:r>
      <w:r w:rsidR="001F3AAD">
        <w:rPr>
          <w:sz w:val="22"/>
        </w:rPr>
        <w:t>TCI/spatial relation</w:t>
      </w:r>
      <w:r w:rsidR="00D44704" w:rsidRPr="0085684A">
        <w:rPr>
          <w:sz w:val="22"/>
        </w:rPr>
        <w:t xml:space="preserve"> for PDSCH/PUSCH</w:t>
      </w:r>
      <w:r w:rsidR="00C50BF6" w:rsidRPr="0085684A">
        <w:rPr>
          <w:sz w:val="22"/>
        </w:rPr>
        <w:t xml:space="preserve"> by </w:t>
      </w:r>
      <w:r w:rsidR="001F3AAD">
        <w:rPr>
          <w:sz w:val="22"/>
        </w:rPr>
        <w:t xml:space="preserve">existing </w:t>
      </w:r>
      <w:r w:rsidR="00C50BF6" w:rsidRPr="0085684A">
        <w:rPr>
          <w:sz w:val="22"/>
        </w:rPr>
        <w:t>DCI</w:t>
      </w:r>
      <w:r w:rsidRPr="0085684A">
        <w:rPr>
          <w:sz w:val="22"/>
        </w:rPr>
        <w:t>.</w:t>
      </w:r>
      <w:r w:rsidR="009B7096">
        <w:rPr>
          <w:sz w:val="22"/>
        </w:rPr>
        <w:t xml:space="preserve"> </w:t>
      </w:r>
    </w:p>
    <w:p w14:paraId="0ECA2ED3" w14:textId="546788C2" w:rsidR="00A77720" w:rsidRDefault="009B7096" w:rsidP="005C0EB0">
      <w:pPr>
        <w:pStyle w:val="LGTdoc1"/>
        <w:numPr>
          <w:ilvl w:val="3"/>
          <w:numId w:val="43"/>
        </w:numPr>
        <w:snapToGrid/>
        <w:spacing w:beforeLines="0" w:before="100" w:beforeAutospacing="1" w:line="360" w:lineRule="auto"/>
        <w:ind w:left="709"/>
        <w:contextualSpacing/>
        <w:rPr>
          <w:sz w:val="22"/>
        </w:rPr>
      </w:pPr>
      <w:r>
        <w:rPr>
          <w:sz w:val="22"/>
        </w:rPr>
        <w:t>Investigate further whether new DCI/MAC-CE for dynamic TCI update is still needed on top of the above method.</w:t>
      </w:r>
    </w:p>
    <w:p w14:paraId="5199FD19" w14:textId="77777777" w:rsidR="0085684A" w:rsidRPr="0085684A" w:rsidRDefault="0085684A" w:rsidP="0085684A">
      <w:pPr>
        <w:pStyle w:val="LGTdoc1"/>
        <w:snapToGrid/>
        <w:spacing w:beforeLines="0" w:before="100" w:beforeAutospacing="1" w:line="360" w:lineRule="auto"/>
        <w:contextualSpacing/>
        <w:rPr>
          <w:sz w:val="22"/>
        </w:rPr>
      </w:pPr>
    </w:p>
    <w:p w14:paraId="2967F8BF" w14:textId="7178C90C" w:rsidR="003A717B" w:rsidRPr="00A94E13" w:rsidRDefault="003A717B" w:rsidP="00A94E13">
      <w:pPr>
        <w:pStyle w:val="1"/>
        <w:numPr>
          <w:ilvl w:val="1"/>
          <w:numId w:val="1"/>
        </w:numPr>
        <w:tabs>
          <w:tab w:val="left" w:pos="851"/>
        </w:tabs>
        <w:spacing w:before="240"/>
        <w:ind w:left="851" w:hanging="865"/>
        <w:rPr>
          <w:rFonts w:eastAsiaTheme="minorEastAsia"/>
        </w:rPr>
      </w:pPr>
      <w:r>
        <w:t>MP-UE assumption</w:t>
      </w:r>
      <w:r w:rsidR="00151090">
        <w:t xml:space="preserve"> including MPE</w:t>
      </w:r>
    </w:p>
    <w:tbl>
      <w:tblPr>
        <w:tblStyle w:val="a7"/>
        <w:tblW w:w="0" w:type="auto"/>
        <w:tblLook w:val="04A0" w:firstRow="1" w:lastRow="0" w:firstColumn="1" w:lastColumn="0" w:noHBand="0" w:noVBand="1"/>
      </w:tblPr>
      <w:tblGrid>
        <w:gridCol w:w="9016"/>
      </w:tblGrid>
      <w:tr w:rsidR="003A717B" w14:paraId="4D2C9E73" w14:textId="77777777" w:rsidTr="000A2069">
        <w:tc>
          <w:tcPr>
            <w:tcW w:w="9016" w:type="dxa"/>
          </w:tcPr>
          <w:p w14:paraId="5B19506E" w14:textId="77777777" w:rsidR="003A717B" w:rsidRPr="003A717B" w:rsidRDefault="003A717B" w:rsidP="003A717B">
            <w:pPr>
              <w:widowControl/>
              <w:wordWrap/>
              <w:autoSpaceDE/>
              <w:spacing w:after="0"/>
              <w:rPr>
                <w:rFonts w:ascii="Times" w:eastAsia="맑은 고딕" w:hAnsi="Times" w:cs="Times"/>
                <w:b/>
                <w:bCs/>
                <w:highlight w:val="green"/>
                <w:lang w:val="en-GB" w:eastAsia="x-none"/>
              </w:rPr>
            </w:pPr>
            <w:r w:rsidRPr="003A717B">
              <w:rPr>
                <w:rFonts w:ascii="Times" w:eastAsia="맑은 고딕" w:hAnsi="Times" w:cs="Times"/>
                <w:b/>
                <w:bCs/>
                <w:highlight w:val="green"/>
                <w:lang w:val="en-GB" w:eastAsia="x-none"/>
              </w:rPr>
              <w:t>Agreement</w:t>
            </w:r>
          </w:p>
          <w:p w14:paraId="752F753C" w14:textId="77777777" w:rsidR="003A717B" w:rsidRPr="003A717B" w:rsidRDefault="003A717B" w:rsidP="003A717B">
            <w:pPr>
              <w:widowControl/>
              <w:numPr>
                <w:ilvl w:val="0"/>
                <w:numId w:val="45"/>
              </w:numPr>
              <w:wordWrap/>
              <w:autoSpaceDE/>
              <w:snapToGrid w:val="0"/>
              <w:spacing w:after="0"/>
              <w:contextualSpacing/>
              <w:rPr>
                <w:rFonts w:eastAsia="맑은 고딕"/>
                <w:lang w:val="en-GB" w:eastAsia="x-none"/>
              </w:rPr>
            </w:pPr>
            <w:r w:rsidRPr="003A717B">
              <w:rPr>
                <w:rFonts w:eastAsia="맑은 고딕"/>
                <w:lang w:val="en-GB" w:eastAsia="x-none"/>
              </w:rPr>
              <w:t>[Issue 4] For Rel.17 NR FeMIMO, on MP-UE assumption to facilitate fast UL panel selection:</w:t>
            </w:r>
          </w:p>
          <w:p w14:paraId="38B17782" w14:textId="77777777" w:rsidR="003A717B" w:rsidRPr="003A717B" w:rsidRDefault="003A717B" w:rsidP="003A717B">
            <w:pPr>
              <w:widowControl/>
              <w:numPr>
                <w:ilvl w:val="1"/>
                <w:numId w:val="45"/>
              </w:numPr>
              <w:wordWrap/>
              <w:autoSpaceDE/>
              <w:snapToGrid w:val="0"/>
              <w:spacing w:after="0"/>
              <w:contextualSpacing/>
              <w:rPr>
                <w:rFonts w:eastAsia="맑은 고딕"/>
                <w:lang w:val="en-GB" w:eastAsia="x-none"/>
              </w:rPr>
            </w:pPr>
            <w:r w:rsidRPr="003A717B">
              <w:rPr>
                <w:rFonts w:eastAsia="맑은 고딕"/>
                <w:lang w:val="en-GB" w:eastAsia="x-none"/>
              </w:rPr>
              <w:t xml:space="preserve">The following assumptions are used: </w:t>
            </w:r>
          </w:p>
          <w:p w14:paraId="0B4281AF" w14:textId="77777777" w:rsidR="003A717B" w:rsidRPr="003A717B" w:rsidRDefault="003A717B" w:rsidP="003A717B">
            <w:pPr>
              <w:widowControl/>
              <w:numPr>
                <w:ilvl w:val="2"/>
                <w:numId w:val="45"/>
              </w:numPr>
              <w:wordWrap/>
              <w:autoSpaceDE/>
              <w:snapToGrid w:val="0"/>
              <w:spacing w:after="0"/>
              <w:contextualSpacing/>
              <w:rPr>
                <w:rFonts w:eastAsia="맑은 고딕"/>
                <w:lang w:val="en-GB" w:eastAsia="x-none"/>
              </w:rPr>
            </w:pPr>
            <w:r w:rsidRPr="003A717B">
              <w:rPr>
                <w:rFonts w:eastAsia="맑은 고딕"/>
                <w:lang w:val="en-GB" w:eastAsia="x-none"/>
              </w:rPr>
              <w:t>In terms of RF functionality, a UE panel comprises a collection of TXRUs that is able to generate one analog beam (one beam may correspond to two antenna ports if dual-polarized array is used)</w:t>
            </w:r>
          </w:p>
          <w:p w14:paraId="1175C6AE" w14:textId="77777777" w:rsidR="003A717B" w:rsidRPr="003A717B" w:rsidRDefault="003A717B" w:rsidP="003A717B">
            <w:pPr>
              <w:widowControl/>
              <w:numPr>
                <w:ilvl w:val="2"/>
                <w:numId w:val="45"/>
              </w:numPr>
              <w:wordWrap/>
              <w:autoSpaceDE/>
              <w:snapToGrid w:val="0"/>
              <w:spacing w:after="0"/>
              <w:contextualSpacing/>
              <w:rPr>
                <w:rFonts w:eastAsia="맑은 고딕"/>
                <w:lang w:val="en-GB" w:eastAsia="x-none"/>
              </w:rPr>
            </w:pPr>
            <w:r w:rsidRPr="003A717B">
              <w:rPr>
                <w:rFonts w:eastAsia="맑은 고딕"/>
                <w:lang w:val="en-GB" w:eastAsia="x-none"/>
              </w:rPr>
              <w:t xml:space="preserve">UE panels can constitute the same as well as different number of antenna ports, number of beams, and EIRP </w:t>
            </w:r>
          </w:p>
          <w:p w14:paraId="6E53CC36" w14:textId="77777777" w:rsidR="003A717B" w:rsidRPr="003A717B" w:rsidRDefault="003A717B" w:rsidP="003A717B">
            <w:pPr>
              <w:widowControl/>
              <w:numPr>
                <w:ilvl w:val="2"/>
                <w:numId w:val="45"/>
              </w:numPr>
              <w:wordWrap/>
              <w:autoSpaceDE/>
              <w:snapToGrid w:val="0"/>
              <w:spacing w:after="0"/>
              <w:contextualSpacing/>
              <w:rPr>
                <w:rFonts w:eastAsia="맑은 고딕"/>
                <w:lang w:val="en-GB" w:eastAsia="x-none"/>
              </w:rPr>
            </w:pPr>
            <w:r w:rsidRPr="003A717B">
              <w:rPr>
                <w:rFonts w:eastAsia="맑은 고딕"/>
                <w:lang w:val="en-GB" w:eastAsia="x-none"/>
              </w:rPr>
              <w:t>No beam correspondence across different UE panels</w:t>
            </w:r>
          </w:p>
          <w:p w14:paraId="1FCE2D01" w14:textId="77777777" w:rsidR="003A717B" w:rsidRPr="003A717B" w:rsidRDefault="003A717B" w:rsidP="003A717B">
            <w:pPr>
              <w:widowControl/>
              <w:numPr>
                <w:ilvl w:val="2"/>
                <w:numId w:val="45"/>
              </w:numPr>
              <w:wordWrap/>
              <w:autoSpaceDE/>
              <w:snapToGrid w:val="0"/>
              <w:spacing w:after="0"/>
              <w:contextualSpacing/>
              <w:rPr>
                <w:rFonts w:eastAsia="맑은 고딕"/>
                <w:lang w:val="en-GB" w:eastAsia="x-none"/>
              </w:rPr>
            </w:pPr>
            <w:r w:rsidRPr="003A717B">
              <w:rPr>
                <w:rFonts w:eastAsia="맑은 고딕"/>
                <w:lang w:val="en-GB" w:eastAsia="x-none"/>
              </w:rPr>
              <w:t>FFS: For each UE panel, it can comprise an independent unit of PC, FFT timing window, and/or TA.</w:t>
            </w:r>
          </w:p>
          <w:p w14:paraId="43A13CBB" w14:textId="77777777" w:rsidR="003A717B" w:rsidRPr="003A717B" w:rsidRDefault="003A717B" w:rsidP="003A717B">
            <w:pPr>
              <w:widowControl/>
              <w:numPr>
                <w:ilvl w:val="2"/>
                <w:numId w:val="45"/>
              </w:numPr>
              <w:wordWrap/>
              <w:autoSpaceDE/>
              <w:snapToGrid w:val="0"/>
              <w:spacing w:after="0"/>
              <w:contextualSpacing/>
              <w:rPr>
                <w:rFonts w:eastAsia="맑은 고딕"/>
                <w:lang w:val="en-GB" w:eastAsia="x-none"/>
              </w:rPr>
            </w:pPr>
            <w:r w:rsidRPr="003A717B">
              <w:rPr>
                <w:rFonts w:eastAsia="맑은 고딕"/>
                <w:lang w:val="en-GB" w:eastAsia="x-none"/>
              </w:rPr>
              <w:t>FFS: Same or different sets of UE panels can be used for DL reception and UL transmission, respectively</w:t>
            </w:r>
          </w:p>
          <w:p w14:paraId="1BA3A2B5" w14:textId="77777777" w:rsidR="003A717B" w:rsidRPr="003A717B" w:rsidRDefault="003A717B" w:rsidP="003A717B">
            <w:pPr>
              <w:widowControl/>
              <w:numPr>
                <w:ilvl w:val="1"/>
                <w:numId w:val="45"/>
              </w:numPr>
              <w:wordWrap/>
              <w:autoSpaceDE/>
              <w:snapToGrid w:val="0"/>
              <w:spacing w:after="0"/>
              <w:contextualSpacing/>
              <w:rPr>
                <w:rFonts w:eastAsia="맑은 고딕"/>
                <w:lang w:val="en-GB" w:eastAsia="x-none"/>
              </w:rPr>
            </w:pPr>
            <w:r w:rsidRPr="003A717B">
              <w:rPr>
                <w:rFonts w:eastAsia="맑은 고딕"/>
                <w:lang w:val="en-GB" w:eastAsia="x-none"/>
              </w:rPr>
              <w:t>In RAN1#103-e, identify candidate use cases including MPE, and consider remaining aspects if use cases are identified</w:t>
            </w:r>
          </w:p>
          <w:p w14:paraId="6FA5CC3F" w14:textId="77777777" w:rsidR="003A717B" w:rsidRPr="003A717B" w:rsidRDefault="003A717B" w:rsidP="003A717B">
            <w:pPr>
              <w:widowControl/>
              <w:numPr>
                <w:ilvl w:val="1"/>
                <w:numId w:val="45"/>
              </w:numPr>
              <w:wordWrap/>
              <w:autoSpaceDE/>
              <w:snapToGrid w:val="0"/>
              <w:spacing w:after="0"/>
              <w:contextualSpacing/>
              <w:rPr>
                <w:rFonts w:eastAsia="맑은 고딕"/>
                <w:lang w:val="en-GB" w:eastAsia="x-none"/>
              </w:rPr>
            </w:pPr>
            <w:r w:rsidRPr="003A717B">
              <w:rPr>
                <w:rFonts w:eastAsia="맑은 고딕"/>
                <w:lang w:val="en-GB" w:eastAsia="x-none"/>
              </w:rPr>
              <w:t>In RAN1#103-e, identify candidate signaling schemes for the following:</w:t>
            </w:r>
          </w:p>
          <w:p w14:paraId="1E4764D5" w14:textId="77777777" w:rsidR="00634C4E" w:rsidRPr="00634C4E" w:rsidRDefault="003A717B" w:rsidP="00634C4E">
            <w:pPr>
              <w:widowControl/>
              <w:numPr>
                <w:ilvl w:val="2"/>
                <w:numId w:val="45"/>
              </w:numPr>
              <w:wordWrap/>
              <w:autoSpaceDE/>
              <w:snapToGrid w:val="0"/>
              <w:spacing w:after="0"/>
              <w:contextualSpacing/>
              <w:rPr>
                <w:b/>
              </w:rPr>
            </w:pPr>
            <w:r w:rsidRPr="003A717B">
              <w:rPr>
                <w:rFonts w:eastAsia="맑은 고딕"/>
                <w:lang w:val="en-GB" w:eastAsia="x-none"/>
              </w:rPr>
              <w:t>NW to MP-UE (taking into account potential extension of the unified TCI framework in issue 1)</w:t>
            </w:r>
          </w:p>
          <w:p w14:paraId="6BF0ADE7" w14:textId="77777777" w:rsidR="003A717B" w:rsidRPr="004A6847" w:rsidRDefault="003A717B" w:rsidP="00634C4E">
            <w:pPr>
              <w:widowControl/>
              <w:numPr>
                <w:ilvl w:val="2"/>
                <w:numId w:val="45"/>
              </w:numPr>
              <w:wordWrap/>
              <w:autoSpaceDE/>
              <w:snapToGrid w:val="0"/>
              <w:spacing w:after="0"/>
              <w:contextualSpacing/>
              <w:rPr>
                <w:b/>
                <w:sz w:val="22"/>
              </w:rPr>
            </w:pPr>
            <w:r w:rsidRPr="00634C4E">
              <w:rPr>
                <w:rFonts w:eastAsia="맑은 고딕"/>
                <w:lang w:val="en-GB" w:eastAsia="x-none"/>
              </w:rPr>
              <w:t>MP-UE to NW</w:t>
            </w:r>
          </w:p>
          <w:p w14:paraId="0B4C6AB0" w14:textId="77777777" w:rsidR="004A6847" w:rsidRDefault="004A6847" w:rsidP="004A6847">
            <w:pPr>
              <w:widowControl/>
              <w:wordWrap/>
              <w:autoSpaceDE/>
              <w:snapToGrid w:val="0"/>
              <w:spacing w:after="0"/>
              <w:contextualSpacing/>
              <w:rPr>
                <w:rFonts w:eastAsia="맑은 고딕"/>
                <w:lang w:val="en-GB" w:eastAsia="x-none"/>
              </w:rPr>
            </w:pPr>
          </w:p>
          <w:p w14:paraId="4AA04F1F" w14:textId="77777777" w:rsidR="004A6847" w:rsidRPr="004A6847" w:rsidRDefault="004A6847" w:rsidP="004A6847">
            <w:pPr>
              <w:widowControl/>
              <w:wordWrap/>
              <w:autoSpaceDE/>
              <w:spacing w:after="0"/>
              <w:rPr>
                <w:rFonts w:ascii="Times" w:eastAsia="맑은 고딕" w:hAnsi="Times" w:cs="Times"/>
                <w:b/>
                <w:bCs/>
                <w:highlight w:val="green"/>
                <w:lang w:val="en-GB" w:eastAsia="x-none"/>
              </w:rPr>
            </w:pPr>
            <w:r w:rsidRPr="004A6847">
              <w:rPr>
                <w:rFonts w:ascii="Times" w:eastAsia="맑은 고딕" w:hAnsi="Times" w:cs="Times"/>
                <w:b/>
                <w:bCs/>
                <w:highlight w:val="green"/>
                <w:lang w:val="en-GB" w:eastAsia="x-none"/>
              </w:rPr>
              <w:t>Agreement</w:t>
            </w:r>
          </w:p>
          <w:p w14:paraId="03083F98" w14:textId="77777777" w:rsidR="004A6847" w:rsidRPr="004A6847" w:rsidRDefault="004A6847" w:rsidP="004A6847">
            <w:pPr>
              <w:widowControl/>
              <w:numPr>
                <w:ilvl w:val="0"/>
                <w:numId w:val="45"/>
              </w:numPr>
              <w:wordWrap/>
              <w:autoSpaceDE/>
              <w:snapToGrid w:val="0"/>
              <w:spacing w:after="0"/>
              <w:contextualSpacing/>
              <w:rPr>
                <w:rFonts w:eastAsia="맑은 고딕"/>
                <w:lang w:val="en-GB" w:eastAsia="x-none"/>
              </w:rPr>
            </w:pPr>
            <w:r w:rsidRPr="004A6847">
              <w:rPr>
                <w:rFonts w:eastAsia="맑은 고딕"/>
                <w:lang w:val="en-GB" w:eastAsia="x-none"/>
              </w:rPr>
              <w:t xml:space="preserve">[Issue 5] For Rel.17 NR FeMIMO, on MPE mitigation (that is, minimizing the UL coverage loss due to the UE having to meet the MPE regulation), in RAN1#103-e: </w:t>
            </w:r>
          </w:p>
          <w:p w14:paraId="6E7C49D6" w14:textId="77777777" w:rsidR="004A6847" w:rsidRPr="004A6847" w:rsidRDefault="004A6847" w:rsidP="004A6847">
            <w:pPr>
              <w:widowControl/>
              <w:numPr>
                <w:ilvl w:val="1"/>
                <w:numId w:val="45"/>
              </w:numPr>
              <w:wordWrap/>
              <w:autoSpaceDE/>
              <w:snapToGrid w:val="0"/>
              <w:spacing w:after="0"/>
              <w:contextualSpacing/>
              <w:rPr>
                <w:rFonts w:eastAsia="맑은 고딕"/>
                <w:lang w:val="en-GB" w:eastAsia="x-none"/>
              </w:rPr>
            </w:pPr>
            <w:r w:rsidRPr="004A6847">
              <w:rPr>
                <w:rFonts w:eastAsia="맑은 고딕"/>
                <w:lang w:val="en-GB" w:eastAsia="x-none"/>
              </w:rPr>
              <w:t>If needed, identify candidate solutions to be down-selected in future meeting(s). The following sub-categories can be used:</w:t>
            </w:r>
          </w:p>
          <w:p w14:paraId="3129899C" w14:textId="77777777" w:rsidR="004A6847" w:rsidRPr="004A6847" w:rsidRDefault="004A6847" w:rsidP="004A6847">
            <w:pPr>
              <w:widowControl/>
              <w:numPr>
                <w:ilvl w:val="2"/>
                <w:numId w:val="45"/>
              </w:numPr>
              <w:wordWrap/>
              <w:autoSpaceDE/>
              <w:snapToGrid w:val="0"/>
              <w:spacing w:after="0"/>
              <w:contextualSpacing/>
              <w:rPr>
                <w:rFonts w:eastAsia="맑은 고딕"/>
                <w:lang w:val="en-GB" w:eastAsia="x-none"/>
              </w:rPr>
            </w:pPr>
            <w:r w:rsidRPr="004A6847">
              <w:rPr>
                <w:rFonts w:eastAsia="맑은 고딕"/>
                <w:lang w:val="en-GB" w:eastAsia="x-none"/>
              </w:rPr>
              <w:t>CAT0. The need for specification support for MPE event detection and, if needed, candidate solutions</w:t>
            </w:r>
          </w:p>
          <w:p w14:paraId="2191019C" w14:textId="77777777" w:rsidR="004A6847" w:rsidRPr="004A6847" w:rsidRDefault="004A6847" w:rsidP="004A6847">
            <w:pPr>
              <w:widowControl/>
              <w:numPr>
                <w:ilvl w:val="2"/>
                <w:numId w:val="45"/>
              </w:numPr>
              <w:wordWrap/>
              <w:autoSpaceDE/>
              <w:snapToGrid w:val="0"/>
              <w:spacing w:after="0"/>
              <w:contextualSpacing/>
              <w:rPr>
                <w:rFonts w:eastAsia="맑은 고딕"/>
                <w:lang w:val="en-GB" w:eastAsia="x-none"/>
              </w:rPr>
            </w:pPr>
            <w:r w:rsidRPr="004A6847">
              <w:rPr>
                <w:rFonts w:eastAsia="맑은 고딕"/>
                <w:lang w:val="en-GB" w:eastAsia="x-none"/>
              </w:rPr>
              <w:t>CAT1. The need for UE reporting associated with an MPE and/or a potential/anticipated MPE event if the UE selects a certain UL spatial resource, e.g., corresponding to DL or UL RS</w:t>
            </w:r>
          </w:p>
          <w:p w14:paraId="52F792A4" w14:textId="77777777" w:rsidR="004A6847" w:rsidRPr="004A6847" w:rsidRDefault="004A6847" w:rsidP="004A6847">
            <w:pPr>
              <w:widowControl/>
              <w:numPr>
                <w:ilvl w:val="2"/>
                <w:numId w:val="45"/>
              </w:numPr>
              <w:wordWrap/>
              <w:autoSpaceDE/>
              <w:snapToGrid w:val="0"/>
              <w:spacing w:after="0"/>
              <w:contextualSpacing/>
              <w:rPr>
                <w:rFonts w:eastAsia="맑은 고딕"/>
                <w:lang w:val="en-GB" w:eastAsia="x-none"/>
              </w:rPr>
            </w:pPr>
            <w:r w:rsidRPr="004A6847">
              <w:rPr>
                <w:rFonts w:eastAsia="맑은 고딕"/>
                <w:lang w:val="en-GB" w:eastAsia="x-none"/>
              </w:rPr>
              <w:t>CAT2. The need for NW signaling in response to the reported MPE event (taking into account issue 1) and UE behavior after receiving the NW signaling</w:t>
            </w:r>
          </w:p>
          <w:p w14:paraId="7EC176AA" w14:textId="77777777" w:rsidR="004A6847" w:rsidRPr="004A6847" w:rsidRDefault="004A6847" w:rsidP="004A6847">
            <w:pPr>
              <w:widowControl/>
              <w:numPr>
                <w:ilvl w:val="2"/>
                <w:numId w:val="45"/>
              </w:numPr>
              <w:wordWrap/>
              <w:autoSpaceDE/>
              <w:snapToGrid w:val="0"/>
              <w:spacing w:after="0"/>
              <w:contextualSpacing/>
              <w:rPr>
                <w:rFonts w:eastAsia="맑은 고딕"/>
                <w:lang w:val="en-GB" w:eastAsia="x-none"/>
              </w:rPr>
            </w:pPr>
            <w:r w:rsidRPr="004A6847">
              <w:rPr>
                <w:rFonts w:eastAsia="맑은 고딕"/>
                <w:lang w:val="en-GB" w:eastAsia="x-none"/>
              </w:rPr>
              <w:t>Note: RAN4 has agreed to specify P-MPR reporting (cf. CRs for TS 38.101/102/133) which can be used as a baseline scheme for further enhancement</w:t>
            </w:r>
          </w:p>
          <w:p w14:paraId="693159F2" w14:textId="77777777" w:rsidR="004A6847" w:rsidRDefault="004A6847" w:rsidP="004A6847">
            <w:pPr>
              <w:widowControl/>
              <w:numPr>
                <w:ilvl w:val="2"/>
                <w:numId w:val="45"/>
              </w:numPr>
              <w:wordWrap/>
              <w:autoSpaceDE/>
              <w:snapToGrid w:val="0"/>
              <w:spacing w:after="0"/>
              <w:contextualSpacing/>
              <w:rPr>
                <w:b/>
                <w:sz w:val="22"/>
              </w:rPr>
            </w:pPr>
            <w:r w:rsidRPr="004A6847">
              <w:rPr>
                <w:rFonts w:eastAsia="맑은 고딕"/>
                <w:lang w:val="en-GB" w:eastAsia="x-none"/>
              </w:rPr>
              <w:t>Note: This may be related to outcome of issue 4b)</w:t>
            </w:r>
          </w:p>
          <w:p w14:paraId="58519777" w14:textId="7B5ED9FB" w:rsidR="004A6847" w:rsidRPr="004A6847" w:rsidRDefault="004A6847" w:rsidP="004A6847">
            <w:pPr>
              <w:widowControl/>
              <w:numPr>
                <w:ilvl w:val="1"/>
                <w:numId w:val="45"/>
              </w:numPr>
              <w:wordWrap/>
              <w:autoSpaceDE/>
              <w:snapToGrid w:val="0"/>
              <w:spacing w:after="0"/>
              <w:contextualSpacing/>
              <w:rPr>
                <w:rFonts w:eastAsia="맑은 고딕"/>
                <w:lang w:val="en-GB" w:eastAsia="x-none"/>
              </w:rPr>
            </w:pPr>
            <w:r>
              <w:rPr>
                <w:rFonts w:eastAsia="맑은 고딕"/>
                <w:lang w:val="en-GB" w:eastAsia="x-none"/>
              </w:rPr>
              <w:t>Companies are encouraged to submit evaluation results based on the agreed EVM to justify the benefits of the candidate solutions</w:t>
            </w:r>
          </w:p>
        </w:tc>
      </w:tr>
    </w:tbl>
    <w:p w14:paraId="59DDAE67" w14:textId="1D8DCA54" w:rsidR="00A94E13" w:rsidRDefault="00A94E13" w:rsidP="00A94E13">
      <w:pPr>
        <w:pStyle w:val="LGTdoc1"/>
        <w:snapToGrid/>
        <w:spacing w:beforeLines="0" w:before="100" w:beforeAutospacing="1" w:line="360" w:lineRule="auto"/>
        <w:ind w:firstLineChars="146" w:firstLine="321"/>
        <w:contextualSpacing/>
        <w:rPr>
          <w:b w:val="0"/>
          <w:sz w:val="22"/>
          <w:lang w:val="en-US"/>
        </w:rPr>
      </w:pPr>
      <w:r>
        <w:rPr>
          <w:b w:val="0"/>
          <w:sz w:val="22"/>
          <w:lang w:val="en-US"/>
        </w:rPr>
        <w:t>In Rel-16, enhancements on multi-panel UE for UL transmission had been intensively discussed taking into account panel identification methods [</w:t>
      </w:r>
      <w:r w:rsidR="005C0EB0">
        <w:rPr>
          <w:b w:val="0"/>
          <w:sz w:val="22"/>
          <w:lang w:val="en-US"/>
        </w:rPr>
        <w:t>4</w:t>
      </w:r>
      <w:r>
        <w:rPr>
          <w:b w:val="0"/>
          <w:sz w:val="22"/>
          <w:lang w:val="en-US"/>
        </w:rPr>
        <w:t>]. In the last meeting,</w:t>
      </w:r>
      <w:r w:rsidR="001E3D5C">
        <w:rPr>
          <w:b w:val="0"/>
          <w:sz w:val="22"/>
          <w:lang w:val="en-US"/>
        </w:rPr>
        <w:t xml:space="preserve"> the extension of unified TCI for MP-UEs was discussed to facilitate UL fast panel selection considering MPE issues as shown above. To enable the MP-UE</w:t>
      </w:r>
      <w:r w:rsidR="00E75EA8">
        <w:rPr>
          <w:b w:val="0"/>
          <w:sz w:val="22"/>
          <w:lang w:val="en-US"/>
        </w:rPr>
        <w:t xml:space="preserve"> operation efficiently/reliably</w:t>
      </w:r>
      <w:r w:rsidR="001E3D5C">
        <w:rPr>
          <w:b w:val="0"/>
          <w:sz w:val="22"/>
          <w:lang w:val="en-US"/>
        </w:rPr>
        <w:t>,</w:t>
      </w:r>
      <w:r w:rsidR="00E75EA8">
        <w:rPr>
          <w:b w:val="0"/>
          <w:sz w:val="22"/>
          <w:lang w:val="en-US"/>
        </w:rPr>
        <w:t xml:space="preserve"> it is required to have enhanced controllability </w:t>
      </w:r>
      <w:r w:rsidR="00E75EA8" w:rsidRPr="00E75EA8">
        <w:rPr>
          <w:b w:val="0"/>
          <w:sz w:val="22"/>
          <w:lang w:val="en-US"/>
        </w:rPr>
        <w:t>at the gNB side as well as efficient UE transmission support utilizing multiple panels implemented at the UE side.</w:t>
      </w:r>
      <w:r w:rsidR="00E75EA8">
        <w:rPr>
          <w:b w:val="0"/>
          <w:sz w:val="22"/>
          <w:lang w:val="en-US"/>
        </w:rPr>
        <w:t xml:space="preserve"> </w:t>
      </w:r>
      <w:r w:rsidR="003F6997">
        <w:rPr>
          <w:b w:val="0"/>
          <w:sz w:val="22"/>
          <w:lang w:val="en-US"/>
        </w:rPr>
        <w:t xml:space="preserve">On the issue 4a, </w:t>
      </w:r>
      <w:r w:rsidR="00E75EA8">
        <w:rPr>
          <w:b w:val="0"/>
          <w:sz w:val="22"/>
          <w:lang w:val="en-US"/>
        </w:rPr>
        <w:t>i</w:t>
      </w:r>
      <w:r w:rsidR="00E75EA8" w:rsidRPr="00E75EA8">
        <w:rPr>
          <w:b w:val="0"/>
          <w:sz w:val="22"/>
          <w:lang w:val="en-US"/>
        </w:rPr>
        <w:t>t is beneficial to clearly understand what can be supported based on Rel-15</w:t>
      </w:r>
      <w:r w:rsidR="00961000">
        <w:rPr>
          <w:b w:val="0"/>
          <w:sz w:val="22"/>
          <w:lang w:val="en-US"/>
        </w:rPr>
        <w:t>/16</w:t>
      </w:r>
      <w:r w:rsidR="00E75EA8" w:rsidRPr="00E75EA8">
        <w:rPr>
          <w:b w:val="0"/>
          <w:sz w:val="22"/>
          <w:lang w:val="en-US"/>
        </w:rPr>
        <w:t xml:space="preserve"> and what cannot be supported in the current specifications so that the proposed enhancement</w:t>
      </w:r>
      <w:r w:rsidR="00E75EA8">
        <w:rPr>
          <w:b w:val="0"/>
          <w:sz w:val="22"/>
          <w:lang w:val="en-US"/>
        </w:rPr>
        <w:t xml:space="preserve">s are to be considered in Rel-17 </w:t>
      </w:r>
      <w:r w:rsidR="004545B6">
        <w:rPr>
          <w:b w:val="0"/>
          <w:sz w:val="22"/>
          <w:lang w:val="en-US"/>
        </w:rPr>
        <w:t>for panel identification</w:t>
      </w:r>
      <w:r w:rsidR="001F3AAD">
        <w:rPr>
          <w:b w:val="0"/>
          <w:sz w:val="22"/>
          <w:lang w:val="en-US"/>
        </w:rPr>
        <w:t>, resulting in</w:t>
      </w:r>
      <w:r w:rsidR="00E75EA8">
        <w:rPr>
          <w:b w:val="0"/>
          <w:sz w:val="22"/>
          <w:lang w:val="en-US"/>
        </w:rPr>
        <w:t xml:space="preserve"> the following observation</w:t>
      </w:r>
      <w:r w:rsidR="004545B6">
        <w:rPr>
          <w:b w:val="0"/>
          <w:sz w:val="22"/>
          <w:lang w:val="en-US"/>
        </w:rPr>
        <w:t>s</w:t>
      </w:r>
      <w:r w:rsidR="00E75EA8">
        <w:rPr>
          <w:b w:val="0"/>
          <w:sz w:val="22"/>
          <w:lang w:val="en-US"/>
        </w:rPr>
        <w:t xml:space="preserve"> </w:t>
      </w:r>
      <w:r w:rsidR="001F3AAD">
        <w:rPr>
          <w:b w:val="0"/>
          <w:sz w:val="22"/>
          <w:lang w:val="en-US"/>
        </w:rPr>
        <w:t xml:space="preserve">(more details can be found in </w:t>
      </w:r>
      <w:r w:rsidR="00E75EA8">
        <w:rPr>
          <w:b w:val="0"/>
          <w:sz w:val="22"/>
          <w:lang w:val="en-US"/>
        </w:rPr>
        <w:t>[</w:t>
      </w:r>
      <w:r w:rsidR="000C39F2">
        <w:rPr>
          <w:b w:val="0"/>
          <w:sz w:val="22"/>
          <w:lang w:val="en-US"/>
        </w:rPr>
        <w:t>5</w:t>
      </w:r>
      <w:r w:rsidR="00E75EA8">
        <w:rPr>
          <w:b w:val="0"/>
          <w:sz w:val="22"/>
          <w:lang w:val="en-US"/>
        </w:rPr>
        <w:t>]</w:t>
      </w:r>
      <w:r w:rsidR="001F3AAD">
        <w:rPr>
          <w:b w:val="0"/>
          <w:sz w:val="22"/>
          <w:lang w:val="en-US"/>
        </w:rPr>
        <w:t>)</w:t>
      </w:r>
      <w:r w:rsidR="00E75EA8">
        <w:rPr>
          <w:b w:val="0"/>
          <w:sz w:val="22"/>
          <w:lang w:val="en-US"/>
        </w:rPr>
        <w:t>.</w:t>
      </w:r>
      <w:r w:rsidR="00972BF5">
        <w:rPr>
          <w:b w:val="0"/>
          <w:sz w:val="22"/>
          <w:lang w:val="en-US"/>
        </w:rPr>
        <w:t xml:space="preserve"> </w:t>
      </w:r>
      <w:r w:rsidR="00D6793A">
        <w:rPr>
          <w:b w:val="0"/>
          <w:sz w:val="22"/>
          <w:lang w:val="en-US"/>
        </w:rPr>
        <w:t xml:space="preserve">As summarized below, it is true that MP-UE may be operational with Rel-15/16 specs but all these designs have been fragmented and its usage scenarios are very limited due to the limitation of the same power/timing control across panels. </w:t>
      </w:r>
      <w:r w:rsidR="00972BF5">
        <w:rPr>
          <w:b w:val="0"/>
          <w:sz w:val="22"/>
          <w:lang w:val="en-US"/>
        </w:rPr>
        <w:t xml:space="preserve">It should be also noted that the spatial relation </w:t>
      </w:r>
      <w:r w:rsidR="00972BF5">
        <w:rPr>
          <w:b w:val="0"/>
          <w:sz w:val="22"/>
          <w:lang w:val="en-US"/>
        </w:rPr>
        <w:lastRenderedPageBreak/>
        <w:t xml:space="preserve">information is just an assist information to help UE adjusting/selecting its Tx beam, meaning that it does not mandate UE to use the same beam/panel even if their spatial relation RSs are same. For example, for two channels with the same DL RS as spatial relation RS, UE could change its </w:t>
      </w:r>
      <w:r w:rsidR="00921E15">
        <w:rPr>
          <w:b w:val="0"/>
          <w:sz w:val="22"/>
          <w:lang w:val="en-US"/>
        </w:rPr>
        <w:t xml:space="preserve">Tx </w:t>
      </w:r>
      <w:r w:rsidR="00972BF5">
        <w:rPr>
          <w:b w:val="0"/>
          <w:sz w:val="22"/>
          <w:lang w:val="en-US"/>
        </w:rPr>
        <w:t>beam/panel if those two channels are transmitted in different time</w:t>
      </w:r>
      <w:r w:rsidR="00921E15">
        <w:rPr>
          <w:b w:val="0"/>
          <w:sz w:val="22"/>
          <w:lang w:val="en-US"/>
        </w:rPr>
        <w:t xml:space="preserve"> instance</w:t>
      </w:r>
      <w:r w:rsidR="00D6793A">
        <w:rPr>
          <w:b w:val="0"/>
          <w:sz w:val="22"/>
          <w:lang w:val="en-US"/>
        </w:rPr>
        <w:t>s</w:t>
      </w:r>
      <w:r w:rsidR="00972BF5">
        <w:rPr>
          <w:b w:val="0"/>
          <w:sz w:val="22"/>
          <w:lang w:val="en-US"/>
        </w:rPr>
        <w:t xml:space="preserve">, e.g. the best Rx beam/panel for receiving the </w:t>
      </w:r>
      <w:r w:rsidR="00C914FF">
        <w:rPr>
          <w:b w:val="0"/>
          <w:sz w:val="22"/>
          <w:lang w:val="en-US"/>
        </w:rPr>
        <w:t xml:space="preserve">same </w:t>
      </w:r>
      <w:r w:rsidR="00972BF5">
        <w:rPr>
          <w:b w:val="0"/>
          <w:sz w:val="22"/>
          <w:lang w:val="en-US"/>
        </w:rPr>
        <w:t xml:space="preserve">DL RS </w:t>
      </w:r>
      <w:r w:rsidR="00C914FF">
        <w:rPr>
          <w:b w:val="0"/>
          <w:sz w:val="22"/>
          <w:lang w:val="en-US"/>
        </w:rPr>
        <w:t xml:space="preserve">resource </w:t>
      </w:r>
      <w:r w:rsidR="00972BF5">
        <w:rPr>
          <w:b w:val="0"/>
          <w:sz w:val="22"/>
          <w:lang w:val="en-US"/>
        </w:rPr>
        <w:t>can be changed by UE rotation or beam blockage, but the cha</w:t>
      </w:r>
      <w:r w:rsidR="00921E15">
        <w:rPr>
          <w:b w:val="0"/>
          <w:sz w:val="22"/>
          <w:lang w:val="en-US"/>
        </w:rPr>
        <w:t>nge is unknown to gNB so it c</w:t>
      </w:r>
      <w:r w:rsidR="00C914FF">
        <w:rPr>
          <w:b w:val="0"/>
          <w:sz w:val="22"/>
          <w:lang w:val="en-US"/>
        </w:rPr>
        <w:t>an</w:t>
      </w:r>
      <w:r w:rsidR="00921E15">
        <w:rPr>
          <w:b w:val="0"/>
          <w:sz w:val="22"/>
          <w:lang w:val="en-US"/>
        </w:rPr>
        <w:t xml:space="preserve"> cause unexpected UL interference.</w:t>
      </w:r>
      <w:r w:rsidR="00972BF5">
        <w:rPr>
          <w:b w:val="0"/>
          <w:sz w:val="22"/>
          <w:lang w:val="en-US"/>
        </w:rPr>
        <w:t xml:space="preserve">  </w:t>
      </w:r>
    </w:p>
    <w:p w14:paraId="08886443" w14:textId="77777777" w:rsidR="00A94E13" w:rsidRDefault="00A94E13" w:rsidP="00A94E13">
      <w:pPr>
        <w:pStyle w:val="LGTdoc1"/>
        <w:snapToGrid/>
        <w:spacing w:beforeLines="0" w:before="100" w:beforeAutospacing="1" w:line="360" w:lineRule="auto"/>
        <w:ind w:firstLineChars="146" w:firstLine="321"/>
        <w:contextualSpacing/>
        <w:rPr>
          <w:b w:val="0"/>
          <w:sz w:val="22"/>
          <w:lang w:val="en-US"/>
        </w:rPr>
      </w:pPr>
    </w:p>
    <w:p w14:paraId="6BFBB912" w14:textId="237CBCE3" w:rsidR="00961000" w:rsidRDefault="005F2073" w:rsidP="005F2073">
      <w:pPr>
        <w:pStyle w:val="LGTdoc1"/>
        <w:snapToGrid/>
        <w:spacing w:beforeLines="0" w:before="100" w:beforeAutospacing="1" w:line="360" w:lineRule="auto"/>
        <w:contextualSpacing/>
        <w:rPr>
          <w:sz w:val="22"/>
        </w:rPr>
      </w:pPr>
      <w:r w:rsidRPr="005F2073">
        <w:rPr>
          <w:sz w:val="22"/>
        </w:rPr>
        <w:t>Observation #</w:t>
      </w:r>
      <w:r w:rsidR="00A91A4E">
        <w:rPr>
          <w:sz w:val="22"/>
        </w:rPr>
        <w:t>3</w:t>
      </w:r>
      <w:r w:rsidRPr="005F2073">
        <w:rPr>
          <w:sz w:val="22"/>
        </w:rPr>
        <w:t xml:space="preserve">. </w:t>
      </w:r>
      <w:r w:rsidR="00961000">
        <w:rPr>
          <w:sz w:val="22"/>
        </w:rPr>
        <w:t>B</w:t>
      </w:r>
      <w:r w:rsidRPr="005F2073">
        <w:rPr>
          <w:sz w:val="22"/>
        </w:rPr>
        <w:t>y Rel-15</w:t>
      </w:r>
      <w:r w:rsidR="00961000">
        <w:rPr>
          <w:sz w:val="22"/>
        </w:rPr>
        <w:t>/16</w:t>
      </w:r>
      <w:r w:rsidRPr="005F2073">
        <w:rPr>
          <w:sz w:val="22"/>
        </w:rPr>
        <w:t xml:space="preserve"> specifications</w:t>
      </w:r>
      <w:r w:rsidR="00961000">
        <w:rPr>
          <w:sz w:val="22"/>
        </w:rPr>
        <w:t>,</w:t>
      </w:r>
      <w:r w:rsidRPr="005F2073">
        <w:rPr>
          <w:sz w:val="22"/>
        </w:rPr>
        <w:t xml:space="preserve"> </w:t>
      </w:r>
    </w:p>
    <w:p w14:paraId="7898E893" w14:textId="5B101B7D" w:rsidR="005F2073" w:rsidRPr="005C0EB0" w:rsidRDefault="00961000" w:rsidP="005C0EB0">
      <w:pPr>
        <w:pStyle w:val="LGTdoc1"/>
        <w:numPr>
          <w:ilvl w:val="3"/>
          <w:numId w:val="43"/>
        </w:numPr>
        <w:snapToGrid/>
        <w:spacing w:beforeLines="0" w:before="100" w:beforeAutospacing="1" w:line="360" w:lineRule="auto"/>
        <w:ind w:left="709"/>
        <w:contextualSpacing/>
        <w:rPr>
          <w:sz w:val="22"/>
          <w:lang w:val="en-US"/>
        </w:rPr>
      </w:pPr>
      <w:r>
        <w:rPr>
          <w:sz w:val="22"/>
        </w:rPr>
        <w:t>E</w:t>
      </w:r>
      <w:r w:rsidR="005F2073" w:rsidRPr="005C0EB0">
        <w:rPr>
          <w:sz w:val="22"/>
          <w:lang w:val="en-US"/>
        </w:rPr>
        <w:t>ach UE Tx panel can correspond to each configured SRS resource set</w:t>
      </w:r>
      <w:r w:rsidR="006C607E">
        <w:rPr>
          <w:sz w:val="22"/>
          <w:lang w:val="en-US"/>
        </w:rPr>
        <w:t xml:space="preserve"> from simultaneous SRS transmission and power control perspective</w:t>
      </w:r>
      <w:r w:rsidR="005F2073" w:rsidRPr="005C0EB0">
        <w:rPr>
          <w:sz w:val="22"/>
          <w:lang w:val="en-US"/>
        </w:rPr>
        <w:t>, which can be observed at least by the following spec descriptions and agreements:</w:t>
      </w:r>
    </w:p>
    <w:p w14:paraId="1D1F52E7" w14:textId="48A2768A" w:rsidR="005F2073" w:rsidRPr="005F2073" w:rsidRDefault="005F2073" w:rsidP="005C0EB0">
      <w:pPr>
        <w:pStyle w:val="LGTdoc1"/>
        <w:numPr>
          <w:ilvl w:val="4"/>
          <w:numId w:val="43"/>
        </w:numPr>
        <w:snapToGrid/>
        <w:spacing w:beforeLines="0" w:before="100" w:beforeAutospacing="1" w:line="360" w:lineRule="auto"/>
        <w:ind w:left="1276"/>
        <w:contextualSpacing/>
        <w:rPr>
          <w:sz w:val="22"/>
          <w:lang w:val="en-US"/>
        </w:rPr>
      </w:pPr>
      <w:r w:rsidRPr="005F2073">
        <w:rPr>
          <w:sz w:val="22"/>
          <w:lang w:val="en-US"/>
        </w:rPr>
        <w:t>Text on SRS-based UL BM in TS38.214 as “SRS resources in different SRS resource sets wi</w:t>
      </w:r>
      <w:r>
        <w:rPr>
          <w:sz w:val="22"/>
          <w:lang w:val="en-US"/>
        </w:rPr>
        <w:t>th the same time domain behavio</w:t>
      </w:r>
      <w:r w:rsidRPr="005F2073">
        <w:rPr>
          <w:sz w:val="22"/>
          <w:lang w:val="en-US"/>
        </w:rPr>
        <w:t xml:space="preserve">r in the same BWP can be transmitted simultaneously” </w:t>
      </w:r>
    </w:p>
    <w:p w14:paraId="0657CAF1" w14:textId="6E82635D" w:rsidR="005F2073" w:rsidRPr="005F2073" w:rsidRDefault="005F2073" w:rsidP="005C0EB0">
      <w:pPr>
        <w:pStyle w:val="LGTdoc1"/>
        <w:numPr>
          <w:ilvl w:val="4"/>
          <w:numId w:val="43"/>
        </w:numPr>
        <w:snapToGrid/>
        <w:spacing w:beforeLines="0" w:before="100" w:beforeAutospacing="1" w:line="360" w:lineRule="auto"/>
        <w:ind w:left="1276"/>
        <w:contextualSpacing/>
        <w:rPr>
          <w:sz w:val="22"/>
          <w:lang w:val="en-US"/>
        </w:rPr>
      </w:pPr>
      <w:r w:rsidRPr="005F2073">
        <w:rPr>
          <w:sz w:val="22"/>
          <w:lang w:val="en-US"/>
        </w:rPr>
        <w:t>Text on SRS power control in TS38.213 as “power control parameters such as P</w:t>
      </w:r>
      <w:r w:rsidR="001E3D5C">
        <w:rPr>
          <w:sz w:val="22"/>
          <w:lang w:val="en-US"/>
        </w:rPr>
        <w:t>0</w:t>
      </w:r>
      <w:r w:rsidRPr="005F2073">
        <w:rPr>
          <w:sz w:val="22"/>
          <w:lang w:val="en-US"/>
        </w:rPr>
        <w:t>, alpha, DL RS for PL are all configurable for each SRS resource set q</w:t>
      </w:r>
      <w:r w:rsidRPr="001E3D5C">
        <w:rPr>
          <w:sz w:val="22"/>
          <w:vertAlign w:val="subscript"/>
          <w:lang w:val="en-US"/>
        </w:rPr>
        <w:t>s</w:t>
      </w:r>
      <w:r w:rsidRPr="005F2073">
        <w:rPr>
          <w:sz w:val="22"/>
          <w:lang w:val="en-US"/>
        </w:rPr>
        <w:t>”</w:t>
      </w:r>
    </w:p>
    <w:p w14:paraId="3E201471" w14:textId="711131E6" w:rsidR="005F2073" w:rsidRPr="005F2073" w:rsidRDefault="005F2073" w:rsidP="005C0EB0">
      <w:pPr>
        <w:pStyle w:val="LGTdoc1"/>
        <w:numPr>
          <w:ilvl w:val="4"/>
          <w:numId w:val="43"/>
        </w:numPr>
        <w:snapToGrid/>
        <w:spacing w:beforeLines="0" w:before="100" w:beforeAutospacing="1" w:line="360" w:lineRule="auto"/>
        <w:ind w:left="1276"/>
        <w:contextualSpacing/>
        <w:rPr>
          <w:sz w:val="22"/>
          <w:lang w:val="en-US"/>
        </w:rPr>
      </w:pPr>
      <w:r w:rsidRPr="005F2073">
        <w:rPr>
          <w:sz w:val="22"/>
          <w:lang w:val="en-US"/>
        </w:rPr>
        <w:t>Agreements made in RAN1#95 on FG 2-30 as “Rel-15 UE can report its capability as up to 4 SRS resource sets (which can correspond up to 4 panels) per supported time domain behavior”</w:t>
      </w:r>
    </w:p>
    <w:p w14:paraId="4F0302E1" w14:textId="19738B79" w:rsidR="00961000" w:rsidRDefault="00921E15" w:rsidP="005C0EB0">
      <w:pPr>
        <w:pStyle w:val="LGTdoc1"/>
        <w:numPr>
          <w:ilvl w:val="3"/>
          <w:numId w:val="43"/>
        </w:numPr>
        <w:snapToGrid/>
        <w:spacing w:beforeLines="0" w:before="100" w:beforeAutospacing="1" w:line="360" w:lineRule="auto"/>
        <w:ind w:left="709"/>
        <w:contextualSpacing/>
        <w:rPr>
          <w:sz w:val="22"/>
        </w:rPr>
      </w:pPr>
      <w:r>
        <w:rPr>
          <w:sz w:val="22"/>
        </w:rPr>
        <w:t>F</w:t>
      </w:r>
      <w:r w:rsidR="00961000">
        <w:rPr>
          <w:sz w:val="22"/>
        </w:rPr>
        <w:t xml:space="preserve">or CB/NCB UL transmission, </w:t>
      </w:r>
      <w:r>
        <w:rPr>
          <w:sz w:val="22"/>
        </w:rPr>
        <w:t xml:space="preserve">however, </w:t>
      </w:r>
      <w:r w:rsidR="00961000">
        <w:rPr>
          <w:sz w:val="22"/>
        </w:rPr>
        <w:t>dynamic panel switching</w:t>
      </w:r>
      <w:r w:rsidR="00C914FF">
        <w:rPr>
          <w:sz w:val="22"/>
        </w:rPr>
        <w:t xml:space="preserve"> with different power control</w:t>
      </w:r>
      <w:r w:rsidR="00961000">
        <w:rPr>
          <w:sz w:val="22"/>
        </w:rPr>
        <w:t xml:space="preserve"> is NOT supported because they are associated with single SRS resource </w:t>
      </w:r>
      <w:r w:rsidR="00972BF5">
        <w:rPr>
          <w:sz w:val="22"/>
        </w:rPr>
        <w:t>set</w:t>
      </w:r>
    </w:p>
    <w:p w14:paraId="44FA96FD" w14:textId="37479F39" w:rsidR="006C607E" w:rsidRDefault="006C607E" w:rsidP="005C0EB0">
      <w:pPr>
        <w:pStyle w:val="LGTdoc1"/>
        <w:numPr>
          <w:ilvl w:val="3"/>
          <w:numId w:val="43"/>
        </w:numPr>
        <w:snapToGrid/>
        <w:spacing w:beforeLines="0" w:before="100" w:beforeAutospacing="1" w:line="360" w:lineRule="auto"/>
        <w:ind w:left="709"/>
        <w:contextualSpacing/>
        <w:rPr>
          <w:sz w:val="22"/>
        </w:rPr>
      </w:pPr>
      <w:r>
        <w:rPr>
          <w:rFonts w:hint="eastAsia"/>
          <w:sz w:val="22"/>
        </w:rPr>
        <w:t xml:space="preserve">A common TA is applied </w:t>
      </w:r>
      <w:r>
        <w:rPr>
          <w:sz w:val="22"/>
        </w:rPr>
        <w:t>in</w:t>
      </w:r>
      <w:r>
        <w:rPr>
          <w:rFonts w:hint="eastAsia"/>
          <w:sz w:val="22"/>
        </w:rPr>
        <w:t xml:space="preserve"> a single CC/BWP</w:t>
      </w:r>
      <w:r>
        <w:rPr>
          <w:sz w:val="22"/>
        </w:rPr>
        <w:t>, i.e. different panels should use the same TA value even if they are targeting different TRPs</w:t>
      </w:r>
    </w:p>
    <w:p w14:paraId="1F5C4615" w14:textId="0F6CADD6" w:rsidR="004545B6" w:rsidRPr="00972BF5" w:rsidRDefault="006C607E" w:rsidP="005C0EB0">
      <w:pPr>
        <w:pStyle w:val="LGTdoc1"/>
        <w:numPr>
          <w:ilvl w:val="3"/>
          <w:numId w:val="43"/>
        </w:numPr>
        <w:snapToGrid/>
        <w:spacing w:beforeLines="0" w:before="100" w:beforeAutospacing="1" w:line="360" w:lineRule="auto"/>
        <w:ind w:left="709"/>
        <w:contextualSpacing/>
        <w:rPr>
          <w:sz w:val="22"/>
        </w:rPr>
      </w:pPr>
      <w:r>
        <w:rPr>
          <w:sz w:val="22"/>
        </w:rPr>
        <w:t>UE may switch Tx panel/beam for different SRS/PUCCH/PUSCH transmissions</w:t>
      </w:r>
      <w:r w:rsidR="00972BF5">
        <w:rPr>
          <w:sz w:val="22"/>
        </w:rPr>
        <w:t xml:space="preserve"> </w:t>
      </w:r>
      <w:r w:rsidR="00921E15">
        <w:rPr>
          <w:sz w:val="22"/>
        </w:rPr>
        <w:t>in</w:t>
      </w:r>
      <w:r w:rsidR="00972BF5">
        <w:rPr>
          <w:sz w:val="22"/>
        </w:rPr>
        <w:t xml:space="preserve"> gNB transparent manner</w:t>
      </w:r>
      <w:r>
        <w:rPr>
          <w:sz w:val="22"/>
        </w:rPr>
        <w:t xml:space="preserve"> </w:t>
      </w:r>
      <w:r w:rsidR="00921E15">
        <w:rPr>
          <w:sz w:val="22"/>
        </w:rPr>
        <w:t xml:space="preserve">even if their spatial relation is same, </w:t>
      </w:r>
      <w:r>
        <w:rPr>
          <w:sz w:val="22"/>
        </w:rPr>
        <w:t xml:space="preserve">so that gNB </w:t>
      </w:r>
      <w:r w:rsidR="00921E15">
        <w:rPr>
          <w:sz w:val="22"/>
        </w:rPr>
        <w:t>can experience unexpected</w:t>
      </w:r>
      <w:r>
        <w:rPr>
          <w:sz w:val="22"/>
        </w:rPr>
        <w:t xml:space="preserve"> UL interference</w:t>
      </w:r>
      <w:r w:rsidR="00921E15">
        <w:rPr>
          <w:sz w:val="22"/>
        </w:rPr>
        <w:t xml:space="preserve"> when it happens</w:t>
      </w:r>
    </w:p>
    <w:p w14:paraId="3BBE0CE4" w14:textId="77777777" w:rsidR="005F2073" w:rsidRPr="004545B6" w:rsidRDefault="005F2073" w:rsidP="005F2073">
      <w:pPr>
        <w:pStyle w:val="LGTdoc1"/>
        <w:snapToGrid/>
        <w:spacing w:beforeLines="0" w:after="240" w:afterAutospacing="0" w:line="360" w:lineRule="auto"/>
        <w:contextualSpacing/>
        <w:rPr>
          <w:sz w:val="22"/>
          <w:lang w:val="en-US"/>
        </w:rPr>
      </w:pPr>
    </w:p>
    <w:p w14:paraId="7B75E06F" w14:textId="74F85401" w:rsidR="008F60FF" w:rsidRDefault="00921E15" w:rsidP="008F60FF">
      <w:pPr>
        <w:pStyle w:val="LGTdoc1"/>
        <w:snapToGrid/>
        <w:spacing w:beforeLines="0" w:before="100" w:beforeAutospacing="1" w:line="360" w:lineRule="auto"/>
        <w:ind w:firstLineChars="146" w:firstLine="321"/>
        <w:contextualSpacing/>
        <w:rPr>
          <w:b w:val="0"/>
          <w:sz w:val="22"/>
          <w:lang w:val="en-US"/>
        </w:rPr>
      </w:pPr>
      <w:r>
        <w:rPr>
          <w:b w:val="0"/>
          <w:sz w:val="22"/>
          <w:lang w:val="en-US"/>
        </w:rPr>
        <w:t>From above observations, it is clear that introducing a panel identification method is benefi</w:t>
      </w:r>
      <w:r w:rsidR="008F60FF">
        <w:rPr>
          <w:b w:val="0"/>
          <w:sz w:val="22"/>
          <w:lang w:val="en-US"/>
        </w:rPr>
        <w:t xml:space="preserve">cial, regardless of </w:t>
      </w:r>
      <w:r w:rsidR="00C914FF">
        <w:rPr>
          <w:b w:val="0"/>
          <w:sz w:val="22"/>
          <w:lang w:val="en-US"/>
        </w:rPr>
        <w:t xml:space="preserve">details of </w:t>
      </w:r>
      <w:r w:rsidR="008F60FF">
        <w:rPr>
          <w:b w:val="0"/>
          <w:sz w:val="22"/>
          <w:lang w:val="en-US"/>
        </w:rPr>
        <w:t>the panel identification method. As a starting point, explicit panel ID can be considered as converged for panel identification method in Rel-16, where this ID can be configured/indicated to different channels/RSs so that gNB can control UL transmission from a specific panel, or at least a grouping of PUCCH/SRS resources that would imply for a specific panel needs to be supported. And for the flexibility on UL/DL operation and panel switching, same or different sets of UE panels should be supported on DL reception and UL transmission.</w:t>
      </w:r>
    </w:p>
    <w:p w14:paraId="74300406" w14:textId="77777777" w:rsidR="008F60FF" w:rsidRPr="0023015F" w:rsidRDefault="008F60FF" w:rsidP="008F60FF">
      <w:pPr>
        <w:pStyle w:val="LGTdoc1"/>
        <w:snapToGrid/>
        <w:spacing w:beforeLines="0" w:before="100" w:beforeAutospacing="1" w:line="360" w:lineRule="auto"/>
        <w:ind w:firstLineChars="146" w:firstLine="315"/>
        <w:contextualSpacing/>
        <w:rPr>
          <w:sz w:val="22"/>
          <w:lang w:val="en-US"/>
        </w:rPr>
      </w:pPr>
    </w:p>
    <w:p w14:paraId="71174433" w14:textId="7188F48A" w:rsidR="008F60FF" w:rsidRPr="005F2073" w:rsidRDefault="008F60FF" w:rsidP="008F60FF">
      <w:pPr>
        <w:pStyle w:val="LGTdoc1"/>
        <w:snapToGrid/>
        <w:spacing w:beforeLines="0" w:after="240" w:afterAutospacing="0" w:line="360" w:lineRule="auto"/>
        <w:contextualSpacing/>
        <w:rPr>
          <w:sz w:val="22"/>
          <w:lang w:val="en-US"/>
        </w:rPr>
      </w:pPr>
      <w:r>
        <w:rPr>
          <w:sz w:val="22"/>
          <w:lang w:val="en-US"/>
        </w:rPr>
        <w:t xml:space="preserve">Proposal #8: Panel identification method should be supported, e.g. explicit ID can be configured to UL channels/RSs or </w:t>
      </w:r>
      <w:r w:rsidRPr="00A94E13">
        <w:rPr>
          <w:sz w:val="22"/>
          <w:lang w:val="en-US"/>
        </w:rPr>
        <w:t>implicit ID based on a grouping of PUCCH/SRS</w:t>
      </w:r>
      <w:r w:rsidR="00C914FF">
        <w:rPr>
          <w:sz w:val="22"/>
          <w:lang w:val="en-US"/>
        </w:rPr>
        <w:t>/PRACH</w:t>
      </w:r>
      <w:r w:rsidRPr="00A94E13">
        <w:rPr>
          <w:sz w:val="22"/>
          <w:lang w:val="en-US"/>
        </w:rPr>
        <w:t xml:space="preserve"> resources </w:t>
      </w:r>
      <w:r w:rsidR="00C914FF">
        <w:rPr>
          <w:sz w:val="22"/>
          <w:lang w:val="en-US"/>
        </w:rPr>
        <w:t xml:space="preserve">can be used </w:t>
      </w:r>
      <w:r>
        <w:rPr>
          <w:sz w:val="22"/>
          <w:lang w:val="en-US"/>
        </w:rPr>
        <w:t>so that gNB can control UL triggering from a specific UE panel.</w:t>
      </w:r>
    </w:p>
    <w:p w14:paraId="24A059A1" w14:textId="77777777" w:rsidR="008F60FF" w:rsidRDefault="008F60FF" w:rsidP="008F60FF">
      <w:pPr>
        <w:pStyle w:val="LGTdoc1"/>
        <w:snapToGrid/>
        <w:spacing w:beforeLines="0" w:before="100" w:beforeAutospacing="1" w:line="360" w:lineRule="auto"/>
        <w:contextualSpacing/>
        <w:rPr>
          <w:sz w:val="22"/>
        </w:rPr>
      </w:pPr>
    </w:p>
    <w:p w14:paraId="369B4E21" w14:textId="3C80483E" w:rsidR="008F60FF" w:rsidRDefault="008F60FF" w:rsidP="008F60FF">
      <w:pPr>
        <w:pStyle w:val="LGTdoc1"/>
        <w:snapToGrid/>
        <w:spacing w:beforeLines="0" w:before="100" w:beforeAutospacing="1" w:line="360" w:lineRule="auto"/>
        <w:contextualSpacing/>
        <w:rPr>
          <w:sz w:val="22"/>
        </w:rPr>
      </w:pPr>
      <w:r>
        <w:rPr>
          <w:rFonts w:hint="eastAsia"/>
          <w:sz w:val="22"/>
        </w:rPr>
        <w:t xml:space="preserve">Proposal </w:t>
      </w:r>
      <w:r>
        <w:rPr>
          <w:sz w:val="22"/>
        </w:rPr>
        <w:t>#9</w:t>
      </w:r>
      <w:r>
        <w:rPr>
          <w:rFonts w:hint="eastAsia"/>
          <w:sz w:val="22"/>
        </w:rPr>
        <w:t>. Support the same/different sets of UE panels for the purpose of DL reception and UL transmission.</w:t>
      </w:r>
    </w:p>
    <w:p w14:paraId="526450BF" w14:textId="0ED0CDDA" w:rsidR="00D6793A" w:rsidRPr="005C0EB0" w:rsidRDefault="00D6793A" w:rsidP="001E2E19">
      <w:pPr>
        <w:pStyle w:val="LGTdoc1"/>
        <w:snapToGrid/>
        <w:spacing w:beforeLines="0" w:after="240" w:afterAutospacing="0" w:line="360" w:lineRule="auto"/>
        <w:ind w:firstLine="349"/>
        <w:contextualSpacing/>
        <w:rPr>
          <w:b w:val="0"/>
          <w:sz w:val="22"/>
        </w:rPr>
      </w:pPr>
    </w:p>
    <w:p w14:paraId="2A193CA9" w14:textId="6D5F99C5" w:rsidR="00542EB8" w:rsidRDefault="00D6793A" w:rsidP="008F60FF">
      <w:pPr>
        <w:pStyle w:val="LGTdoc1"/>
        <w:snapToGrid/>
        <w:spacing w:beforeLines="0" w:after="240" w:afterAutospacing="0" w:line="360" w:lineRule="auto"/>
        <w:ind w:firstLine="349"/>
        <w:contextualSpacing/>
        <w:rPr>
          <w:b w:val="0"/>
          <w:sz w:val="22"/>
          <w:lang w:val="en-US"/>
        </w:rPr>
      </w:pPr>
      <w:r>
        <w:rPr>
          <w:b w:val="0"/>
          <w:sz w:val="22"/>
          <w:lang w:val="en-US"/>
        </w:rPr>
        <w:lastRenderedPageBreak/>
        <w:t>P</w:t>
      </w:r>
      <w:r w:rsidR="00542EB8" w:rsidRPr="00542EB8">
        <w:rPr>
          <w:b w:val="0"/>
          <w:sz w:val="22"/>
          <w:lang w:val="en-US"/>
        </w:rPr>
        <w:t xml:space="preserve">ractical implication of UE Tx panel may depend on particular UE implementation ways so that it may need to be avoided to attempt finding a single universal panel definition, but it seems rather to be </w:t>
      </w:r>
      <w:r w:rsidR="008F60FF">
        <w:rPr>
          <w:b w:val="0"/>
          <w:sz w:val="22"/>
          <w:lang w:val="en-US"/>
        </w:rPr>
        <w:t>needed</w:t>
      </w:r>
      <w:r w:rsidR="008F60FF" w:rsidRPr="00542EB8">
        <w:rPr>
          <w:b w:val="0"/>
          <w:sz w:val="22"/>
          <w:lang w:val="en-US"/>
        </w:rPr>
        <w:t xml:space="preserve"> </w:t>
      </w:r>
      <w:r w:rsidR="00542EB8" w:rsidRPr="00542EB8">
        <w:rPr>
          <w:b w:val="0"/>
          <w:sz w:val="22"/>
          <w:lang w:val="en-US"/>
        </w:rPr>
        <w:t xml:space="preserve">to allow some degree of flexibility in utilizing the panel related features depending on some UE capability factors as well as network implementation ways for a particular usage. Therefore, we prefer to have the following definition of UE Tx panel </w:t>
      </w:r>
      <w:r w:rsidR="008F60FF">
        <w:rPr>
          <w:b w:val="0"/>
          <w:sz w:val="22"/>
          <w:lang w:val="en-US"/>
        </w:rPr>
        <w:t>to accommodate different ways of</w:t>
      </w:r>
      <w:r w:rsidR="00542EB8" w:rsidRPr="00542EB8">
        <w:rPr>
          <w:b w:val="0"/>
          <w:sz w:val="22"/>
          <w:lang w:val="en-US"/>
        </w:rPr>
        <w:t xml:space="preserve"> </w:t>
      </w:r>
      <w:r w:rsidR="008F60FF">
        <w:rPr>
          <w:b w:val="0"/>
          <w:sz w:val="22"/>
          <w:lang w:val="en-US"/>
        </w:rPr>
        <w:t>MP-</w:t>
      </w:r>
      <w:r w:rsidR="00542EB8" w:rsidRPr="00542EB8">
        <w:rPr>
          <w:b w:val="0"/>
          <w:sz w:val="22"/>
          <w:lang w:val="en-US"/>
        </w:rPr>
        <w:t xml:space="preserve">UE implementation </w:t>
      </w:r>
      <w:r w:rsidR="008F60FF">
        <w:rPr>
          <w:b w:val="0"/>
          <w:sz w:val="22"/>
          <w:lang w:val="en-US"/>
        </w:rPr>
        <w:t>and usage scenarios</w:t>
      </w:r>
      <w:r w:rsidR="00542EB8" w:rsidRPr="00542EB8">
        <w:rPr>
          <w:b w:val="0"/>
          <w:sz w:val="22"/>
          <w:lang w:val="en-US"/>
        </w:rPr>
        <w:t>.</w:t>
      </w:r>
      <w:r w:rsidR="008F60FF">
        <w:rPr>
          <w:b w:val="0"/>
          <w:sz w:val="22"/>
          <w:lang w:val="en-US"/>
        </w:rPr>
        <w:t xml:space="preserve"> FFT timing window may not be appropriate for this item because it is related to DL panel but the focus of this item is for UL.</w:t>
      </w:r>
    </w:p>
    <w:p w14:paraId="685FF6B2" w14:textId="77777777" w:rsidR="00CA52B8" w:rsidRDefault="00CA52B8" w:rsidP="00CA52B8">
      <w:pPr>
        <w:pStyle w:val="LGTdoc1"/>
        <w:snapToGrid/>
        <w:spacing w:beforeLines="0" w:after="240" w:afterAutospacing="0" w:line="360" w:lineRule="auto"/>
        <w:ind w:firstLine="349"/>
        <w:contextualSpacing/>
        <w:rPr>
          <w:sz w:val="22"/>
          <w:lang w:val="en-US"/>
        </w:rPr>
      </w:pPr>
    </w:p>
    <w:p w14:paraId="6D9CDC2F" w14:textId="079AFEF9" w:rsidR="005F2073" w:rsidRPr="005F2073" w:rsidRDefault="005F2073" w:rsidP="005F2073">
      <w:pPr>
        <w:pStyle w:val="LGTdoc1"/>
        <w:snapToGrid/>
        <w:spacing w:beforeLines="0" w:before="100" w:beforeAutospacing="1" w:line="360" w:lineRule="auto"/>
        <w:contextualSpacing/>
        <w:rPr>
          <w:sz w:val="22"/>
        </w:rPr>
      </w:pPr>
      <w:r w:rsidRPr="005F2073">
        <w:rPr>
          <w:sz w:val="22"/>
        </w:rPr>
        <w:t xml:space="preserve">Proposal </w:t>
      </w:r>
      <w:r w:rsidR="0085684A">
        <w:rPr>
          <w:sz w:val="22"/>
        </w:rPr>
        <w:t>#</w:t>
      </w:r>
      <w:r w:rsidR="008F60FF">
        <w:rPr>
          <w:sz w:val="22"/>
        </w:rPr>
        <w:t>10</w:t>
      </w:r>
      <w:r w:rsidRPr="005F2073">
        <w:rPr>
          <w:sz w:val="22"/>
        </w:rPr>
        <w:t xml:space="preserve">. For MP-UE assumption, one or multiple combination of below </w:t>
      </w:r>
      <w:r w:rsidR="008F60FF">
        <w:rPr>
          <w:sz w:val="22"/>
        </w:rPr>
        <w:t xml:space="preserve">are used </w:t>
      </w:r>
      <w:r w:rsidRPr="005F2073">
        <w:rPr>
          <w:sz w:val="22"/>
        </w:rPr>
        <w:t>depending on different UE implementation.</w:t>
      </w:r>
    </w:p>
    <w:p w14:paraId="35B7D82F" w14:textId="77777777" w:rsidR="005F2073" w:rsidRPr="005F2073" w:rsidRDefault="005F2073" w:rsidP="005F2073">
      <w:pPr>
        <w:pStyle w:val="LGTdoc1"/>
        <w:numPr>
          <w:ilvl w:val="3"/>
          <w:numId w:val="43"/>
        </w:numPr>
        <w:snapToGrid/>
        <w:spacing w:beforeLines="0" w:before="100" w:beforeAutospacing="1" w:line="360" w:lineRule="auto"/>
        <w:ind w:left="709"/>
        <w:contextualSpacing/>
        <w:rPr>
          <w:sz w:val="22"/>
          <w:lang w:val="en-US"/>
        </w:rPr>
      </w:pPr>
      <w:r w:rsidRPr="005F2073">
        <w:rPr>
          <w:sz w:val="22"/>
          <w:lang w:val="en-US"/>
        </w:rPr>
        <w:t>Unit of antenna group to control its Tx beam independently</w:t>
      </w:r>
    </w:p>
    <w:p w14:paraId="68ED4622" w14:textId="77777777" w:rsidR="005F2073" w:rsidRPr="005F2073" w:rsidRDefault="005F2073" w:rsidP="005F2073">
      <w:pPr>
        <w:pStyle w:val="LGTdoc1"/>
        <w:numPr>
          <w:ilvl w:val="1"/>
          <w:numId w:val="43"/>
        </w:numPr>
        <w:snapToGrid/>
        <w:spacing w:beforeLines="0" w:before="100" w:beforeAutospacing="1" w:line="360" w:lineRule="auto"/>
        <w:contextualSpacing/>
        <w:rPr>
          <w:sz w:val="22"/>
          <w:lang w:val="en-US"/>
        </w:rPr>
      </w:pPr>
      <w:r w:rsidRPr="005F2073">
        <w:rPr>
          <w:sz w:val="22"/>
          <w:lang w:val="en-US"/>
        </w:rPr>
        <w:t>Within a panel, one beam can be selected and used for UL transmission.</w:t>
      </w:r>
    </w:p>
    <w:p w14:paraId="71A875FE" w14:textId="77777777" w:rsidR="005F2073" w:rsidRPr="005F2073" w:rsidRDefault="005F2073" w:rsidP="005F2073">
      <w:pPr>
        <w:pStyle w:val="LGTdoc1"/>
        <w:numPr>
          <w:ilvl w:val="1"/>
          <w:numId w:val="43"/>
        </w:numPr>
        <w:snapToGrid/>
        <w:spacing w:beforeLines="0" w:before="100" w:beforeAutospacing="1" w:line="360" w:lineRule="auto"/>
        <w:contextualSpacing/>
        <w:rPr>
          <w:sz w:val="22"/>
          <w:lang w:val="en-US"/>
        </w:rPr>
      </w:pPr>
      <w:r w:rsidRPr="005F2073">
        <w:rPr>
          <w:sz w:val="22"/>
          <w:lang w:val="en-US"/>
        </w:rPr>
        <w:t>Across different panels, multiple beams (each selected per panel) may be used for UL transmission</w:t>
      </w:r>
    </w:p>
    <w:p w14:paraId="66C383D6" w14:textId="77777777" w:rsidR="005F2073" w:rsidRPr="005F2073" w:rsidRDefault="005F2073" w:rsidP="005F2073">
      <w:pPr>
        <w:pStyle w:val="LGTdoc1"/>
        <w:numPr>
          <w:ilvl w:val="3"/>
          <w:numId w:val="43"/>
        </w:numPr>
        <w:snapToGrid/>
        <w:spacing w:beforeLines="0" w:before="100" w:beforeAutospacing="1" w:line="360" w:lineRule="auto"/>
        <w:ind w:left="709"/>
        <w:contextualSpacing/>
        <w:rPr>
          <w:sz w:val="22"/>
          <w:lang w:val="en-US"/>
        </w:rPr>
      </w:pPr>
      <w:r w:rsidRPr="005F2073">
        <w:rPr>
          <w:sz w:val="22"/>
          <w:lang w:val="en-US"/>
        </w:rPr>
        <w:t>Unit of antenna group to control its transmission power independently</w:t>
      </w:r>
    </w:p>
    <w:p w14:paraId="75A59E9A" w14:textId="77777777" w:rsidR="005F2073" w:rsidRPr="005F2073" w:rsidRDefault="005F2073" w:rsidP="005F2073">
      <w:pPr>
        <w:pStyle w:val="LGTdoc1"/>
        <w:numPr>
          <w:ilvl w:val="3"/>
          <w:numId w:val="43"/>
        </w:numPr>
        <w:snapToGrid/>
        <w:spacing w:beforeLines="0" w:before="100" w:beforeAutospacing="1" w:line="360" w:lineRule="auto"/>
        <w:ind w:left="709"/>
        <w:contextualSpacing/>
        <w:rPr>
          <w:sz w:val="22"/>
          <w:lang w:val="en-US"/>
        </w:rPr>
      </w:pPr>
      <w:r w:rsidRPr="005F2073">
        <w:rPr>
          <w:sz w:val="22"/>
          <w:lang w:val="en-US"/>
        </w:rPr>
        <w:t>Unit of antenna group to control its transmission timing independently</w:t>
      </w:r>
    </w:p>
    <w:p w14:paraId="04E565CC" w14:textId="77777777" w:rsidR="005F2073" w:rsidRPr="00CD1CB0" w:rsidRDefault="005F2073" w:rsidP="0023015F">
      <w:pPr>
        <w:pStyle w:val="LGTdoc1"/>
        <w:snapToGrid/>
        <w:spacing w:beforeLines="0" w:before="100" w:beforeAutospacing="1" w:line="360" w:lineRule="auto"/>
        <w:contextualSpacing/>
        <w:rPr>
          <w:b w:val="0"/>
          <w:sz w:val="22"/>
          <w:lang w:val="en-US"/>
        </w:rPr>
      </w:pPr>
    </w:p>
    <w:p w14:paraId="2648B97E" w14:textId="5DFB7BC1" w:rsidR="00CD1CB0" w:rsidRDefault="008F60FF">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For MP-UE, it has been assumed that each TRP can communicate with different UE panel since Rel-16 MTRP discussion. </w:t>
      </w:r>
      <w:r w:rsidR="009138E9">
        <w:rPr>
          <w:b w:val="0"/>
          <w:sz w:val="22"/>
          <w:lang w:val="en-US"/>
        </w:rPr>
        <w:t xml:space="preserve">Therefore, it should be assumed that each UE panel can be associated to same or different TRP. Especially for the latter case, </w:t>
      </w:r>
      <w:r w:rsidR="00445982">
        <w:rPr>
          <w:b w:val="0"/>
          <w:sz w:val="22"/>
          <w:lang w:val="en-US"/>
        </w:rPr>
        <w:t>we</w:t>
      </w:r>
      <w:r w:rsidR="00CD1CB0">
        <w:rPr>
          <w:b w:val="0"/>
          <w:sz w:val="22"/>
          <w:lang w:val="en-US"/>
        </w:rPr>
        <w:t xml:space="preserve"> </w:t>
      </w:r>
      <w:r w:rsidR="003F6997">
        <w:rPr>
          <w:b w:val="0"/>
          <w:sz w:val="22"/>
          <w:lang w:val="en-US"/>
        </w:rPr>
        <w:t xml:space="preserve">should consider large difference of propagation delay </w:t>
      </w:r>
      <w:r w:rsidR="00445982">
        <w:rPr>
          <w:b w:val="0"/>
          <w:sz w:val="22"/>
          <w:lang w:val="en-US"/>
        </w:rPr>
        <w:t xml:space="preserve">to </w:t>
      </w:r>
      <w:r w:rsidR="003F6997">
        <w:rPr>
          <w:b w:val="0"/>
          <w:sz w:val="22"/>
          <w:lang w:val="en-US"/>
        </w:rPr>
        <w:t>each TRP</w:t>
      </w:r>
      <w:r w:rsidR="00445982">
        <w:rPr>
          <w:b w:val="0"/>
          <w:sz w:val="22"/>
          <w:lang w:val="en-US"/>
        </w:rPr>
        <w:t xml:space="preserve">, which can exceed </w:t>
      </w:r>
      <w:r w:rsidR="00F60929">
        <w:rPr>
          <w:b w:val="0"/>
          <w:sz w:val="22"/>
          <w:lang w:val="en-US"/>
        </w:rPr>
        <w:t xml:space="preserve">1 CP </w:t>
      </w:r>
      <w:r w:rsidR="00445982">
        <w:rPr>
          <w:b w:val="0"/>
          <w:sz w:val="22"/>
          <w:lang w:val="en-US"/>
        </w:rPr>
        <w:t>in URLLC scenarios in FR2</w:t>
      </w:r>
      <w:r w:rsidR="00F60929">
        <w:rPr>
          <w:b w:val="0"/>
          <w:sz w:val="22"/>
          <w:lang w:val="en-US"/>
        </w:rPr>
        <w:t xml:space="preserve"> </w:t>
      </w:r>
      <w:r w:rsidR="00445982">
        <w:rPr>
          <w:b w:val="0"/>
          <w:sz w:val="22"/>
          <w:lang w:val="en-US"/>
        </w:rPr>
        <w:t xml:space="preserve">as analyzed in our companion paper </w:t>
      </w:r>
      <w:r w:rsidR="00F60929">
        <w:rPr>
          <w:b w:val="0"/>
          <w:sz w:val="22"/>
          <w:lang w:val="en-US"/>
        </w:rPr>
        <w:t>[</w:t>
      </w:r>
      <w:r w:rsidR="000C39F2">
        <w:rPr>
          <w:b w:val="0"/>
          <w:sz w:val="22"/>
          <w:lang w:val="en-US"/>
        </w:rPr>
        <w:t>6</w:t>
      </w:r>
      <w:r w:rsidR="00F60929">
        <w:rPr>
          <w:b w:val="0"/>
          <w:sz w:val="22"/>
          <w:lang w:val="en-US"/>
        </w:rPr>
        <w:t>].</w:t>
      </w:r>
      <w:r w:rsidR="00163F3E">
        <w:rPr>
          <w:b w:val="0"/>
          <w:sz w:val="22"/>
          <w:lang w:val="en-US"/>
        </w:rPr>
        <w:t xml:space="preserve"> And </w:t>
      </w:r>
      <w:r w:rsidR="00445982">
        <w:rPr>
          <w:b w:val="0"/>
          <w:sz w:val="22"/>
          <w:lang w:val="en-US"/>
        </w:rPr>
        <w:t>inter-panel delay should also be taken into account as Position</w:t>
      </w:r>
      <w:r w:rsidR="000C39F2">
        <w:rPr>
          <w:b w:val="0"/>
          <w:sz w:val="22"/>
          <w:lang w:val="en-US"/>
        </w:rPr>
        <w:t>ing</w:t>
      </w:r>
      <w:r w:rsidR="00445982">
        <w:rPr>
          <w:b w:val="0"/>
          <w:sz w:val="22"/>
          <w:lang w:val="en-US"/>
        </w:rPr>
        <w:t xml:space="preserve"> WI does. Especially </w:t>
      </w:r>
      <w:r w:rsidR="00CD1CB0">
        <w:rPr>
          <w:b w:val="0"/>
          <w:sz w:val="22"/>
          <w:lang w:val="en-US"/>
        </w:rPr>
        <w:t>for UE distributed panels</w:t>
      </w:r>
      <w:r w:rsidR="00163F3E">
        <w:rPr>
          <w:b w:val="0"/>
          <w:sz w:val="22"/>
          <w:lang w:val="en-US"/>
        </w:rPr>
        <w:t>, the timing difference</w:t>
      </w:r>
      <w:r w:rsidR="00445982">
        <w:rPr>
          <w:b w:val="0"/>
          <w:sz w:val="22"/>
          <w:lang w:val="en-US"/>
        </w:rPr>
        <w:t xml:space="preserve"> between panels</w:t>
      </w:r>
      <w:r w:rsidR="00163F3E">
        <w:rPr>
          <w:b w:val="0"/>
          <w:sz w:val="22"/>
          <w:lang w:val="en-US"/>
        </w:rPr>
        <w:t xml:space="preserve"> can also </w:t>
      </w:r>
      <w:r w:rsidR="00445982">
        <w:rPr>
          <w:b w:val="0"/>
          <w:sz w:val="22"/>
          <w:lang w:val="en-US"/>
        </w:rPr>
        <w:t xml:space="preserve">be increased </w:t>
      </w:r>
      <w:r w:rsidR="00163F3E">
        <w:rPr>
          <w:b w:val="0"/>
          <w:sz w:val="22"/>
          <w:lang w:val="en-US"/>
        </w:rPr>
        <w:t xml:space="preserve">due to the geometry </w:t>
      </w:r>
      <w:r w:rsidR="00EB424E">
        <w:rPr>
          <w:b w:val="0"/>
          <w:sz w:val="22"/>
          <w:lang w:val="en-US"/>
        </w:rPr>
        <w:t xml:space="preserve">of </w:t>
      </w:r>
      <w:r w:rsidR="00163F3E">
        <w:rPr>
          <w:b w:val="0"/>
          <w:sz w:val="22"/>
          <w:lang w:val="en-US"/>
        </w:rPr>
        <w:t xml:space="preserve">panels </w:t>
      </w:r>
      <w:r w:rsidR="00CD1CB0">
        <w:rPr>
          <w:b w:val="0"/>
          <w:sz w:val="22"/>
          <w:lang w:val="en-US"/>
        </w:rPr>
        <w:t>(e.g. vehicle UEs that one panel at front bumper an</w:t>
      </w:r>
      <w:r w:rsidR="00163F3E">
        <w:rPr>
          <w:b w:val="0"/>
          <w:sz w:val="22"/>
          <w:lang w:val="en-US"/>
        </w:rPr>
        <w:t>d another panel at rear bumper) and implementation error/calibration for panels.</w:t>
      </w:r>
      <w:r w:rsidR="00445982">
        <w:rPr>
          <w:b w:val="0"/>
          <w:sz w:val="22"/>
          <w:lang w:val="en-US"/>
        </w:rPr>
        <w:t xml:space="preserve"> Exceeding CP can happen more often in FR4 scenarios, in which up to 960</w:t>
      </w:r>
      <w:r w:rsidR="00BF1F2A">
        <w:rPr>
          <w:b w:val="0"/>
          <w:sz w:val="22"/>
          <w:lang w:val="en-US"/>
        </w:rPr>
        <w:t xml:space="preserve"> </w:t>
      </w:r>
      <w:r w:rsidR="00445982">
        <w:rPr>
          <w:b w:val="0"/>
          <w:sz w:val="22"/>
          <w:lang w:val="en-US"/>
        </w:rPr>
        <w:t>kHz SCS is being considered, 8 times larger than the max SCS of FR2.</w:t>
      </w:r>
    </w:p>
    <w:p w14:paraId="6CE8A495" w14:textId="77777777" w:rsidR="00CD1CB0" w:rsidRDefault="00CD1CB0" w:rsidP="005F2073">
      <w:pPr>
        <w:pStyle w:val="LGTdoc1"/>
        <w:snapToGrid/>
        <w:spacing w:beforeLines="0" w:after="240" w:afterAutospacing="0" w:line="360" w:lineRule="auto"/>
        <w:contextualSpacing/>
        <w:rPr>
          <w:sz w:val="22"/>
          <w:lang w:val="en-US"/>
        </w:rPr>
      </w:pPr>
    </w:p>
    <w:p w14:paraId="62BF0D6C" w14:textId="25FD18F6" w:rsidR="00EB424E" w:rsidRDefault="00EB424E" w:rsidP="00EB424E">
      <w:pPr>
        <w:pStyle w:val="LGTdoc1"/>
        <w:snapToGrid/>
        <w:spacing w:beforeLines="0" w:before="100" w:beforeAutospacing="1" w:line="360" w:lineRule="auto"/>
        <w:contextualSpacing/>
        <w:rPr>
          <w:sz w:val="22"/>
        </w:rPr>
      </w:pPr>
      <w:r w:rsidRPr="005F2073">
        <w:rPr>
          <w:sz w:val="22"/>
        </w:rPr>
        <w:t>Observation #</w:t>
      </w:r>
      <w:r w:rsidR="00A91A4E">
        <w:rPr>
          <w:sz w:val="22"/>
        </w:rPr>
        <w:t>4</w:t>
      </w:r>
      <w:r w:rsidRPr="005F2073">
        <w:rPr>
          <w:sz w:val="22"/>
        </w:rPr>
        <w:t xml:space="preserve">. </w:t>
      </w:r>
      <w:r>
        <w:rPr>
          <w:sz w:val="22"/>
        </w:rPr>
        <w:t>Difference of propagation delay to different TRPs can exceed</w:t>
      </w:r>
      <w:r w:rsidRPr="005F2073">
        <w:rPr>
          <w:sz w:val="22"/>
        </w:rPr>
        <w:t xml:space="preserve"> </w:t>
      </w:r>
      <w:r>
        <w:rPr>
          <w:sz w:val="22"/>
        </w:rPr>
        <w:t>CP length considering MTRP URLLC scenario in FR2, and it can happen more often in FR4. Inter-panel delay is another factor to increase effective delay difference of panels.</w:t>
      </w:r>
    </w:p>
    <w:p w14:paraId="00FC1BB1" w14:textId="77777777" w:rsidR="00EB424E" w:rsidRPr="000C39F2" w:rsidRDefault="00EB424E" w:rsidP="005F2073">
      <w:pPr>
        <w:pStyle w:val="LGTdoc1"/>
        <w:snapToGrid/>
        <w:spacing w:beforeLines="0" w:after="240" w:afterAutospacing="0" w:line="360" w:lineRule="auto"/>
        <w:contextualSpacing/>
        <w:rPr>
          <w:sz w:val="22"/>
        </w:rPr>
      </w:pPr>
    </w:p>
    <w:p w14:paraId="4DE53DC7" w14:textId="278DF75B" w:rsidR="005F2073" w:rsidRDefault="005F2073" w:rsidP="005F2073">
      <w:pPr>
        <w:pStyle w:val="LGTdoc1"/>
        <w:snapToGrid/>
        <w:spacing w:beforeLines="0" w:after="240" w:afterAutospacing="0" w:line="360" w:lineRule="auto"/>
        <w:contextualSpacing/>
        <w:rPr>
          <w:sz w:val="22"/>
          <w:lang w:val="en-US"/>
        </w:rPr>
      </w:pPr>
      <w:r>
        <w:rPr>
          <w:sz w:val="22"/>
          <w:lang w:val="en-US"/>
        </w:rPr>
        <w:t>Proposal #</w:t>
      </w:r>
      <w:r w:rsidR="0085684A">
        <w:rPr>
          <w:sz w:val="22"/>
          <w:lang w:val="en-US"/>
        </w:rPr>
        <w:t>1</w:t>
      </w:r>
      <w:r w:rsidR="001E3D5C">
        <w:rPr>
          <w:sz w:val="22"/>
          <w:lang w:val="en-US"/>
        </w:rPr>
        <w:t>1</w:t>
      </w:r>
      <w:r>
        <w:rPr>
          <w:sz w:val="22"/>
          <w:lang w:val="en-US"/>
        </w:rPr>
        <w:t>: Support panel-specific power and timing control.</w:t>
      </w:r>
    </w:p>
    <w:p w14:paraId="1755B3F3" w14:textId="77777777" w:rsidR="005F2073" w:rsidRDefault="005F2073" w:rsidP="00151090">
      <w:pPr>
        <w:pStyle w:val="LGTdoc1"/>
        <w:snapToGrid/>
        <w:spacing w:beforeLines="0" w:before="100" w:beforeAutospacing="1" w:line="360" w:lineRule="auto"/>
        <w:contextualSpacing/>
        <w:rPr>
          <w:sz w:val="22"/>
          <w:lang w:val="en-US"/>
        </w:rPr>
      </w:pPr>
    </w:p>
    <w:p w14:paraId="5B33DEB2" w14:textId="7F0536C8" w:rsidR="002364A8" w:rsidRDefault="0023015F" w:rsidP="005779B4">
      <w:pPr>
        <w:pStyle w:val="LGTdoc1"/>
        <w:snapToGrid/>
        <w:spacing w:beforeLines="0" w:before="100" w:beforeAutospacing="1" w:line="360" w:lineRule="auto"/>
        <w:ind w:firstLineChars="146" w:firstLine="321"/>
        <w:contextualSpacing/>
        <w:rPr>
          <w:b w:val="0"/>
          <w:sz w:val="22"/>
          <w:lang w:val="en-US"/>
        </w:rPr>
      </w:pPr>
      <w:r>
        <w:rPr>
          <w:b w:val="0"/>
          <w:sz w:val="22"/>
          <w:lang w:val="en-US"/>
        </w:rPr>
        <w:t>Related to per panel PC as above</w:t>
      </w:r>
      <w:r w:rsidR="006C1AAE">
        <w:rPr>
          <w:b w:val="0"/>
          <w:sz w:val="22"/>
          <w:lang w:val="en-US"/>
        </w:rPr>
        <w:t xml:space="preserve">, </w:t>
      </w:r>
      <w:r w:rsidR="00C5710B">
        <w:rPr>
          <w:b w:val="0"/>
          <w:sz w:val="22"/>
          <w:lang w:val="en-US"/>
        </w:rPr>
        <w:t xml:space="preserve">the </w:t>
      </w:r>
      <w:r w:rsidR="002364A8">
        <w:rPr>
          <w:b w:val="0"/>
          <w:sz w:val="22"/>
          <w:lang w:val="en-US"/>
        </w:rPr>
        <w:t>conventional PL RS configuration and PL RS tracking has been designed without considering MP-UE assumptions. When multi</w:t>
      </w:r>
      <w:r w:rsidR="00542BAD">
        <w:rPr>
          <w:b w:val="0"/>
          <w:sz w:val="22"/>
          <w:lang w:val="en-US"/>
        </w:rPr>
        <w:t>-</w:t>
      </w:r>
      <w:r w:rsidR="002364A8">
        <w:rPr>
          <w:b w:val="0"/>
          <w:sz w:val="22"/>
          <w:lang w:val="en-US"/>
        </w:rPr>
        <w:t xml:space="preserve">panels are activated at UE side, the dominant path of the DL RS from gNB to each panel </w:t>
      </w:r>
      <w:r w:rsidR="00330AF1">
        <w:rPr>
          <w:b w:val="0"/>
          <w:sz w:val="22"/>
          <w:lang w:val="en-US"/>
        </w:rPr>
        <w:t xml:space="preserve">can </w:t>
      </w:r>
      <w:r w:rsidR="002364A8">
        <w:rPr>
          <w:b w:val="0"/>
          <w:sz w:val="22"/>
          <w:lang w:val="en-US"/>
        </w:rPr>
        <w:t xml:space="preserve">be different </w:t>
      </w:r>
      <w:r w:rsidR="00C5710B">
        <w:rPr>
          <w:b w:val="0"/>
          <w:sz w:val="22"/>
          <w:lang w:val="en-US"/>
        </w:rPr>
        <w:t xml:space="preserve">depending on </w:t>
      </w:r>
      <w:r w:rsidR="002364A8">
        <w:rPr>
          <w:b w:val="0"/>
          <w:sz w:val="22"/>
          <w:lang w:val="en-US"/>
        </w:rPr>
        <w:t>the direction and geomet</w:t>
      </w:r>
      <w:r w:rsidR="00C5710B">
        <w:rPr>
          <w:b w:val="0"/>
          <w:sz w:val="22"/>
          <w:lang w:val="en-US"/>
        </w:rPr>
        <w:t>ry of the panels. In this case</w:t>
      </w:r>
      <w:r w:rsidR="003B7AB4">
        <w:rPr>
          <w:b w:val="0"/>
          <w:sz w:val="22"/>
          <w:lang w:val="en-US"/>
        </w:rPr>
        <w:t xml:space="preserve">, </w:t>
      </w:r>
      <w:r w:rsidR="005779B4">
        <w:rPr>
          <w:b w:val="0"/>
          <w:sz w:val="22"/>
          <w:lang w:val="en-US"/>
        </w:rPr>
        <w:t>a method of configuring PL RSs and controlling the number of tracking PL RSs</w:t>
      </w:r>
      <w:r w:rsidR="00330AF1">
        <w:rPr>
          <w:b w:val="0"/>
          <w:sz w:val="22"/>
          <w:lang w:val="en-US"/>
        </w:rPr>
        <w:t xml:space="preserve"> per panel</w:t>
      </w:r>
      <w:r w:rsidR="005779B4">
        <w:rPr>
          <w:b w:val="0"/>
          <w:sz w:val="22"/>
          <w:lang w:val="en-US"/>
        </w:rPr>
        <w:t xml:space="preserve"> is required by extending the number of</w:t>
      </w:r>
      <w:r w:rsidR="00C5710B">
        <w:rPr>
          <w:b w:val="0"/>
          <w:sz w:val="22"/>
          <w:lang w:val="en-US"/>
        </w:rPr>
        <w:t xml:space="preserve"> </w:t>
      </w:r>
      <w:r w:rsidR="005779B4">
        <w:rPr>
          <w:b w:val="0"/>
          <w:sz w:val="22"/>
          <w:lang w:val="en-US"/>
        </w:rPr>
        <w:t xml:space="preserve">tracking PL RSs </w:t>
      </w:r>
      <w:r w:rsidR="00C5710B">
        <w:rPr>
          <w:b w:val="0"/>
          <w:sz w:val="22"/>
          <w:lang w:val="en-US"/>
        </w:rPr>
        <w:t xml:space="preserve">with </w:t>
      </w:r>
      <w:r w:rsidR="005779B4">
        <w:rPr>
          <w:b w:val="0"/>
          <w:sz w:val="22"/>
          <w:lang w:val="en-US"/>
        </w:rPr>
        <w:t>respect to the number of panels to efficiently facilitate panel-specific power control and PL RS tracking.</w:t>
      </w:r>
    </w:p>
    <w:p w14:paraId="73795B3E" w14:textId="77777777" w:rsidR="005779B4" w:rsidRPr="005779B4" w:rsidRDefault="005779B4" w:rsidP="005779B4">
      <w:pPr>
        <w:pStyle w:val="LGTdoc1"/>
        <w:snapToGrid/>
        <w:spacing w:beforeLines="0" w:before="100" w:beforeAutospacing="1" w:line="360" w:lineRule="auto"/>
        <w:ind w:firstLineChars="146" w:firstLine="321"/>
        <w:contextualSpacing/>
        <w:rPr>
          <w:b w:val="0"/>
          <w:sz w:val="22"/>
          <w:lang w:val="en-US"/>
        </w:rPr>
      </w:pPr>
    </w:p>
    <w:p w14:paraId="18CA4337" w14:textId="47CEBC27" w:rsidR="005779B4" w:rsidRDefault="00151090" w:rsidP="005779B4">
      <w:pPr>
        <w:pStyle w:val="LGTdoc1"/>
        <w:snapToGrid/>
        <w:spacing w:beforeLines="0" w:before="100" w:beforeAutospacing="1" w:line="360" w:lineRule="auto"/>
        <w:contextualSpacing/>
        <w:rPr>
          <w:sz w:val="22"/>
        </w:rPr>
      </w:pPr>
      <w:r>
        <w:rPr>
          <w:sz w:val="22"/>
        </w:rPr>
        <w:t>Proposal #</w:t>
      </w:r>
      <w:r w:rsidR="0085684A">
        <w:rPr>
          <w:sz w:val="22"/>
        </w:rPr>
        <w:t>1</w:t>
      </w:r>
      <w:r w:rsidR="001E3D5C">
        <w:rPr>
          <w:sz w:val="22"/>
        </w:rPr>
        <w:t>2</w:t>
      </w:r>
      <w:r>
        <w:rPr>
          <w:sz w:val="22"/>
        </w:rPr>
        <w:t xml:space="preserve">. </w:t>
      </w:r>
      <w:r w:rsidRPr="00151090">
        <w:rPr>
          <w:sz w:val="22"/>
        </w:rPr>
        <w:t>For MP-UE</w:t>
      </w:r>
      <w:r w:rsidR="00330AF1">
        <w:rPr>
          <w:sz w:val="22"/>
        </w:rPr>
        <w:t xml:space="preserve"> </w:t>
      </w:r>
      <w:r w:rsidR="00330AF1">
        <w:rPr>
          <w:rFonts w:hint="eastAsia"/>
          <w:sz w:val="22"/>
        </w:rPr>
        <w:t xml:space="preserve">power control, panel-specific PL RS configuration/activation needs to be supported, and </w:t>
      </w:r>
      <w:r w:rsidR="00330AF1">
        <w:rPr>
          <w:sz w:val="22"/>
        </w:rPr>
        <w:t xml:space="preserve">panel-wise </w:t>
      </w:r>
      <w:r w:rsidR="00330AF1">
        <w:rPr>
          <w:rFonts w:hint="eastAsia"/>
          <w:sz w:val="22"/>
        </w:rPr>
        <w:t xml:space="preserve">tracking </w:t>
      </w:r>
      <w:r w:rsidR="00330AF1">
        <w:rPr>
          <w:sz w:val="22"/>
        </w:rPr>
        <w:t xml:space="preserve">RSs should also be clarified. </w:t>
      </w:r>
      <w:r w:rsidR="005779B4">
        <w:rPr>
          <w:sz w:val="22"/>
        </w:rPr>
        <w:t xml:space="preserve"> </w:t>
      </w:r>
    </w:p>
    <w:p w14:paraId="4E2C6186" w14:textId="77777777" w:rsidR="00C50BF6" w:rsidRDefault="00C50BF6" w:rsidP="003E579D">
      <w:pPr>
        <w:pStyle w:val="LGTdoc1"/>
        <w:snapToGrid/>
        <w:spacing w:beforeLines="0" w:before="100" w:beforeAutospacing="1" w:line="360" w:lineRule="auto"/>
        <w:contextualSpacing/>
        <w:rPr>
          <w:lang w:val="en-US"/>
        </w:rPr>
      </w:pPr>
    </w:p>
    <w:p w14:paraId="7BD72965" w14:textId="167AF380" w:rsidR="005F1142" w:rsidRDefault="00A432F5" w:rsidP="00CA01B0">
      <w:pPr>
        <w:pStyle w:val="LGTdoc1"/>
        <w:snapToGrid/>
        <w:spacing w:beforeLines="0" w:before="100" w:beforeAutospacing="1" w:line="360" w:lineRule="auto"/>
        <w:ind w:firstLineChars="146" w:firstLine="321"/>
        <w:contextualSpacing/>
        <w:rPr>
          <w:b w:val="0"/>
          <w:sz w:val="22"/>
          <w:lang w:val="en-US"/>
        </w:rPr>
      </w:pPr>
      <w:r>
        <w:rPr>
          <w:rFonts w:hint="eastAsia"/>
          <w:b w:val="0"/>
          <w:sz w:val="22"/>
          <w:lang w:val="en-US"/>
        </w:rPr>
        <w:t xml:space="preserve">For </w:t>
      </w:r>
      <w:r>
        <w:rPr>
          <w:b w:val="0"/>
          <w:sz w:val="22"/>
          <w:lang w:val="en-US"/>
        </w:rPr>
        <w:t xml:space="preserve">UL transmission with </w:t>
      </w:r>
      <w:r w:rsidR="008230DF">
        <w:rPr>
          <w:b w:val="0"/>
          <w:sz w:val="22"/>
          <w:lang w:val="en-US"/>
        </w:rPr>
        <w:t>multi-</w:t>
      </w:r>
      <w:r w:rsidR="001834FC">
        <w:rPr>
          <w:b w:val="0"/>
          <w:sz w:val="22"/>
          <w:lang w:val="en-US"/>
        </w:rPr>
        <w:t>panels</w:t>
      </w:r>
      <w:r>
        <w:rPr>
          <w:b w:val="0"/>
          <w:sz w:val="22"/>
          <w:lang w:val="en-US"/>
        </w:rPr>
        <w:t>, it is necessary to consider the MPE (Maximum Permissible Exposure) issue</w:t>
      </w:r>
      <w:r w:rsidR="00330AF1">
        <w:rPr>
          <w:b w:val="0"/>
          <w:sz w:val="22"/>
          <w:lang w:val="en-US"/>
        </w:rPr>
        <w:t xml:space="preserve">. Considering different orientation or location of different panels, the human body impact can severe for one panel while it is not for another panel. </w:t>
      </w:r>
      <w:r w:rsidR="00507F33">
        <w:rPr>
          <w:b w:val="0"/>
          <w:sz w:val="22"/>
          <w:lang w:val="en-US"/>
        </w:rPr>
        <w:t xml:space="preserve">This situation is firstly known by UE using internal sensors, but it takes quite a time for gNB to know this situation based on Pc_max report from the UE. </w:t>
      </w:r>
      <w:r w:rsidR="001834FC">
        <w:rPr>
          <w:rFonts w:hint="eastAsia"/>
          <w:b w:val="0"/>
          <w:sz w:val="22"/>
          <w:lang w:val="en-US"/>
        </w:rPr>
        <w:t xml:space="preserve">To handle </w:t>
      </w:r>
      <w:r w:rsidR="00507F33">
        <w:rPr>
          <w:b w:val="0"/>
          <w:sz w:val="22"/>
          <w:lang w:val="en-US"/>
        </w:rPr>
        <w:t>this</w:t>
      </w:r>
      <w:r w:rsidR="001834FC">
        <w:rPr>
          <w:rFonts w:hint="eastAsia"/>
          <w:b w:val="0"/>
          <w:sz w:val="22"/>
          <w:lang w:val="en-US"/>
        </w:rPr>
        <w:t xml:space="preserve"> issue</w:t>
      </w:r>
      <w:r w:rsidR="00BD2456">
        <w:rPr>
          <w:b w:val="0"/>
          <w:sz w:val="22"/>
          <w:lang w:val="en-US"/>
        </w:rPr>
        <w:t xml:space="preserve"> corresponding to </w:t>
      </w:r>
      <w:r w:rsidR="00330AF1">
        <w:rPr>
          <w:b w:val="0"/>
          <w:sz w:val="22"/>
          <w:lang w:val="en-US"/>
        </w:rPr>
        <w:t xml:space="preserve">issue </w:t>
      </w:r>
      <w:r w:rsidR="00BD2456">
        <w:rPr>
          <w:b w:val="0"/>
          <w:sz w:val="22"/>
          <w:lang w:val="en-US"/>
        </w:rPr>
        <w:t>4b and 5a</w:t>
      </w:r>
      <w:r w:rsidR="001834FC">
        <w:rPr>
          <w:rFonts w:hint="eastAsia"/>
          <w:b w:val="0"/>
          <w:sz w:val="22"/>
          <w:lang w:val="en-US"/>
        </w:rPr>
        <w:t xml:space="preserve">, </w:t>
      </w:r>
      <w:r w:rsidR="00507F33">
        <w:rPr>
          <w:b w:val="0"/>
          <w:sz w:val="22"/>
          <w:lang w:val="en-US"/>
        </w:rPr>
        <w:t xml:space="preserve">it would be good if a </w:t>
      </w:r>
      <w:r w:rsidR="001834FC">
        <w:rPr>
          <w:b w:val="0"/>
          <w:sz w:val="22"/>
          <w:lang w:val="en-US"/>
        </w:rPr>
        <w:t>UE</w:t>
      </w:r>
      <w:r w:rsidR="00DB2342">
        <w:rPr>
          <w:b w:val="0"/>
          <w:sz w:val="22"/>
          <w:lang w:val="en-US"/>
        </w:rPr>
        <w:t xml:space="preserve"> can </w:t>
      </w:r>
      <w:r w:rsidR="001834FC">
        <w:rPr>
          <w:b w:val="0"/>
          <w:sz w:val="22"/>
          <w:lang w:val="en-US"/>
        </w:rPr>
        <w:t>report</w:t>
      </w:r>
      <w:r w:rsidR="00507F33">
        <w:rPr>
          <w:b w:val="0"/>
          <w:sz w:val="22"/>
          <w:lang w:val="en-US"/>
        </w:rPr>
        <w:t xml:space="preserve"> the occurrence of MPE event of a panel(s) or</w:t>
      </w:r>
      <w:r w:rsidR="001834FC">
        <w:rPr>
          <w:b w:val="0"/>
          <w:sz w:val="22"/>
          <w:lang w:val="en-US"/>
        </w:rPr>
        <w:t xml:space="preserve"> preferred</w:t>
      </w:r>
      <w:r w:rsidR="00507F33">
        <w:rPr>
          <w:b w:val="0"/>
          <w:sz w:val="22"/>
          <w:lang w:val="en-US"/>
        </w:rPr>
        <w:t>/</w:t>
      </w:r>
      <w:r w:rsidR="001834FC">
        <w:rPr>
          <w:b w:val="0"/>
          <w:sz w:val="22"/>
          <w:lang w:val="en-US"/>
        </w:rPr>
        <w:t>non-preferred UL panel(s) by considering MPE event</w:t>
      </w:r>
      <w:r w:rsidR="00507F33">
        <w:rPr>
          <w:b w:val="0"/>
          <w:sz w:val="22"/>
          <w:lang w:val="en-US"/>
        </w:rPr>
        <w:t xml:space="preserve"> to gNB</w:t>
      </w:r>
      <w:r w:rsidR="001834FC">
        <w:rPr>
          <w:b w:val="0"/>
          <w:sz w:val="22"/>
          <w:lang w:val="en-US"/>
        </w:rPr>
        <w:t>.</w:t>
      </w:r>
      <w:r w:rsidR="00DB2342">
        <w:rPr>
          <w:b w:val="0"/>
          <w:sz w:val="22"/>
          <w:lang w:val="en-US"/>
        </w:rPr>
        <w:t xml:space="preserve"> </w:t>
      </w:r>
      <w:r w:rsidR="00A126E9">
        <w:rPr>
          <w:b w:val="0"/>
          <w:sz w:val="22"/>
          <w:lang w:val="en-US"/>
        </w:rPr>
        <w:t xml:space="preserve">For example, </w:t>
      </w:r>
      <w:r w:rsidR="00507F33">
        <w:rPr>
          <w:b w:val="0"/>
          <w:sz w:val="22"/>
          <w:lang w:val="en-US"/>
        </w:rPr>
        <w:t>PUCCH based BFR introduced in Rel-16 can be enhanced to report the occurrence of panel-specific MPE event</w:t>
      </w:r>
      <w:r w:rsidR="00475868">
        <w:rPr>
          <w:b w:val="0"/>
          <w:sz w:val="22"/>
          <w:lang w:val="en-US"/>
        </w:rPr>
        <w:t xml:space="preserve">, e.g. by assigning different BFR-PUCCH </w:t>
      </w:r>
      <w:r w:rsidR="00542BAD">
        <w:rPr>
          <w:b w:val="0"/>
          <w:sz w:val="22"/>
          <w:lang w:val="en-US"/>
        </w:rPr>
        <w:t xml:space="preserve">resource </w:t>
      </w:r>
      <w:r w:rsidR="00475868">
        <w:rPr>
          <w:b w:val="0"/>
          <w:sz w:val="22"/>
          <w:lang w:val="en-US"/>
        </w:rPr>
        <w:t>for different panel.</w:t>
      </w:r>
      <w:r w:rsidR="00507F33">
        <w:rPr>
          <w:b w:val="0"/>
          <w:sz w:val="22"/>
          <w:lang w:val="en-US"/>
        </w:rPr>
        <w:t xml:space="preserve"> </w:t>
      </w:r>
    </w:p>
    <w:p w14:paraId="7B2C6530" w14:textId="77777777" w:rsidR="00CA01B0" w:rsidRPr="00CA01B0" w:rsidRDefault="00CA01B0" w:rsidP="003E579D">
      <w:pPr>
        <w:pStyle w:val="LGTdoc1"/>
        <w:snapToGrid/>
        <w:spacing w:beforeLines="0" w:before="100" w:beforeAutospacing="1" w:line="360" w:lineRule="auto"/>
        <w:contextualSpacing/>
        <w:rPr>
          <w:lang w:val="en-US"/>
        </w:rPr>
      </w:pPr>
    </w:p>
    <w:p w14:paraId="61C5C53B" w14:textId="190096B8" w:rsidR="00CA01B0" w:rsidRDefault="00CA01B0" w:rsidP="00CA01B0">
      <w:pPr>
        <w:pStyle w:val="LGTdoc1"/>
        <w:snapToGrid/>
        <w:spacing w:beforeLines="0" w:before="100" w:beforeAutospacing="1" w:line="360" w:lineRule="auto"/>
        <w:contextualSpacing/>
        <w:rPr>
          <w:sz w:val="22"/>
        </w:rPr>
      </w:pPr>
      <w:r>
        <w:rPr>
          <w:rFonts w:hint="eastAsia"/>
          <w:sz w:val="22"/>
        </w:rPr>
        <w:t>Proposal #</w:t>
      </w:r>
      <w:r w:rsidR="0085684A">
        <w:rPr>
          <w:sz w:val="22"/>
        </w:rPr>
        <w:t>1</w:t>
      </w:r>
      <w:r w:rsidR="001E3D5C">
        <w:rPr>
          <w:sz w:val="22"/>
        </w:rPr>
        <w:t>3</w:t>
      </w:r>
      <w:r>
        <w:rPr>
          <w:rFonts w:hint="eastAsia"/>
          <w:sz w:val="22"/>
        </w:rPr>
        <w:t xml:space="preserve">. </w:t>
      </w:r>
      <w:r w:rsidR="00507F33">
        <w:rPr>
          <w:sz w:val="22"/>
        </w:rPr>
        <w:t>Support UE to report the occurrence of MPE event for a panel by enhancing Rel-16 BFR</w:t>
      </w:r>
      <w:r>
        <w:rPr>
          <w:sz w:val="22"/>
        </w:rPr>
        <w:t>.</w:t>
      </w:r>
    </w:p>
    <w:p w14:paraId="24B3AED4" w14:textId="77777777" w:rsidR="00CA01B0" w:rsidRPr="00CA01B0" w:rsidRDefault="00CA01B0" w:rsidP="003E579D">
      <w:pPr>
        <w:pStyle w:val="LGTdoc1"/>
        <w:snapToGrid/>
        <w:spacing w:beforeLines="0" w:before="100" w:beforeAutospacing="1" w:line="360" w:lineRule="auto"/>
        <w:contextualSpacing/>
      </w:pPr>
    </w:p>
    <w:p w14:paraId="727FF938" w14:textId="760C89B9" w:rsidR="00B41C3A" w:rsidRDefault="00B41C3A" w:rsidP="00B41C3A">
      <w:pPr>
        <w:pStyle w:val="1"/>
        <w:numPr>
          <w:ilvl w:val="0"/>
          <w:numId w:val="1"/>
        </w:numPr>
        <w:ind w:left="426" w:hanging="426"/>
      </w:pPr>
      <w:r>
        <w:t>Conclusions</w:t>
      </w:r>
    </w:p>
    <w:p w14:paraId="4FD8912F" w14:textId="51188D12" w:rsidR="00C50BF6" w:rsidRDefault="00C50BF6" w:rsidP="003E579D">
      <w:pPr>
        <w:pStyle w:val="LGTdoc1"/>
        <w:snapToGrid/>
        <w:spacing w:beforeLines="0" w:before="100" w:beforeAutospacing="1" w:after="240" w:afterAutospacing="0" w:line="360" w:lineRule="auto"/>
        <w:ind w:firstLineChars="152" w:firstLine="334"/>
        <w:contextualSpacing/>
        <w:rPr>
          <w:b w:val="0"/>
          <w:sz w:val="22"/>
          <w:lang w:val="en-US"/>
        </w:rPr>
      </w:pPr>
      <w:r>
        <w:rPr>
          <w:b w:val="0"/>
          <w:sz w:val="22"/>
          <w:lang w:val="en-US"/>
        </w:rPr>
        <w:t xml:space="preserve">In </w:t>
      </w:r>
      <w:r w:rsidR="00163FA1">
        <w:rPr>
          <w:b w:val="0"/>
          <w:sz w:val="22"/>
          <w:lang w:val="en-US"/>
        </w:rPr>
        <w:t xml:space="preserve">this contribution, we have discussed the </w:t>
      </w:r>
      <w:r w:rsidR="00634C4E">
        <w:rPr>
          <w:b w:val="0"/>
          <w:sz w:val="22"/>
          <w:lang w:val="en-US"/>
        </w:rPr>
        <w:t>issues for further enhancements on MB operation</w:t>
      </w:r>
      <w:r w:rsidR="00163FA1">
        <w:rPr>
          <w:b w:val="0"/>
          <w:sz w:val="22"/>
          <w:lang w:val="en-US"/>
        </w:rPr>
        <w:t xml:space="preserve">. Based on the discussions above, </w:t>
      </w:r>
      <w:r w:rsidR="00634C4E">
        <w:rPr>
          <w:b w:val="0"/>
          <w:sz w:val="22"/>
          <w:lang w:val="en-US"/>
        </w:rPr>
        <w:t xml:space="preserve">the </w:t>
      </w:r>
      <w:r w:rsidR="00163FA1">
        <w:rPr>
          <w:b w:val="0"/>
          <w:sz w:val="22"/>
          <w:lang w:val="en-US"/>
        </w:rPr>
        <w:t>following observation</w:t>
      </w:r>
      <w:r w:rsidR="00634C4E">
        <w:rPr>
          <w:b w:val="0"/>
          <w:sz w:val="22"/>
          <w:lang w:val="en-US"/>
        </w:rPr>
        <w:t>s</w:t>
      </w:r>
      <w:r w:rsidR="00163FA1">
        <w:rPr>
          <w:b w:val="0"/>
          <w:sz w:val="22"/>
          <w:lang w:val="en-US"/>
        </w:rPr>
        <w:t xml:space="preserve"> and proposals are given as:</w:t>
      </w:r>
    </w:p>
    <w:p w14:paraId="1FB5ED56" w14:textId="77777777" w:rsidR="00A91A4E" w:rsidRDefault="00A91A4E" w:rsidP="00A91A4E">
      <w:pPr>
        <w:pStyle w:val="LGTdoc1"/>
        <w:snapToGrid/>
        <w:spacing w:beforeLines="0" w:before="100" w:beforeAutospacing="1" w:line="360" w:lineRule="auto"/>
        <w:contextualSpacing/>
        <w:rPr>
          <w:sz w:val="22"/>
        </w:rPr>
      </w:pPr>
      <w:r w:rsidRPr="001E20EE">
        <w:rPr>
          <w:sz w:val="22"/>
        </w:rPr>
        <w:t>Observation</w:t>
      </w:r>
      <w:r>
        <w:rPr>
          <w:sz w:val="22"/>
        </w:rPr>
        <w:t xml:space="preserve"> #1</w:t>
      </w:r>
      <w:r w:rsidRPr="001E20EE">
        <w:rPr>
          <w:sz w:val="22"/>
        </w:rPr>
        <w:t xml:space="preserve">. </w:t>
      </w:r>
      <w:r>
        <w:rPr>
          <w:sz w:val="22"/>
        </w:rPr>
        <w:t>For MTRP/MPUE operation, Rel-16 spec provides grouping of CORESETs and PUCCH resources for each pair of TRP and UE panel</w:t>
      </w:r>
      <w:r w:rsidRPr="00BB5093">
        <w:rPr>
          <w:sz w:val="22"/>
        </w:rPr>
        <w:t>.</w:t>
      </w:r>
      <w:r>
        <w:rPr>
          <w:sz w:val="22"/>
        </w:rPr>
        <w:t xml:space="preserve"> For UL, spatial relation can be updated per PUCCH resource group.</w:t>
      </w:r>
    </w:p>
    <w:p w14:paraId="4B56972F" w14:textId="77777777" w:rsidR="00A91A4E" w:rsidRDefault="00A91A4E" w:rsidP="00A91A4E">
      <w:pPr>
        <w:pStyle w:val="LGTdoc1"/>
        <w:snapToGrid/>
        <w:spacing w:beforeLines="0" w:before="100" w:beforeAutospacing="1" w:line="360" w:lineRule="auto"/>
        <w:contextualSpacing/>
        <w:rPr>
          <w:sz w:val="22"/>
        </w:rPr>
      </w:pPr>
      <w:r w:rsidRPr="001E20EE">
        <w:rPr>
          <w:sz w:val="22"/>
        </w:rPr>
        <w:t>Observation</w:t>
      </w:r>
      <w:r>
        <w:rPr>
          <w:sz w:val="22"/>
        </w:rPr>
        <w:t xml:space="preserve"> #2</w:t>
      </w:r>
      <w:r w:rsidRPr="001E20EE">
        <w:rPr>
          <w:sz w:val="22"/>
        </w:rPr>
        <w:t xml:space="preserve">. </w:t>
      </w:r>
      <w:r>
        <w:rPr>
          <w:sz w:val="22"/>
        </w:rPr>
        <w:t>On the feature of Rel-16 multi-CC simultaneous TCI state/spatial relation update, there are limitations on the applicable target channels/RSs.</w:t>
      </w:r>
    </w:p>
    <w:p w14:paraId="62AACA33" w14:textId="77777777" w:rsidR="00A91A4E" w:rsidRDefault="00A91A4E" w:rsidP="00A91A4E">
      <w:pPr>
        <w:pStyle w:val="LGTdoc1"/>
        <w:snapToGrid/>
        <w:spacing w:beforeLines="0" w:before="100" w:beforeAutospacing="1" w:line="360" w:lineRule="auto"/>
        <w:contextualSpacing/>
        <w:rPr>
          <w:sz w:val="22"/>
        </w:rPr>
      </w:pPr>
      <w:r w:rsidRPr="005F2073">
        <w:rPr>
          <w:sz w:val="22"/>
        </w:rPr>
        <w:t>Observation #</w:t>
      </w:r>
      <w:r>
        <w:rPr>
          <w:sz w:val="22"/>
        </w:rPr>
        <w:t>3</w:t>
      </w:r>
      <w:r w:rsidRPr="005F2073">
        <w:rPr>
          <w:sz w:val="22"/>
        </w:rPr>
        <w:t xml:space="preserve">. </w:t>
      </w:r>
      <w:r>
        <w:rPr>
          <w:sz w:val="22"/>
        </w:rPr>
        <w:t>B</w:t>
      </w:r>
      <w:r w:rsidRPr="005F2073">
        <w:rPr>
          <w:sz w:val="22"/>
        </w:rPr>
        <w:t>y Rel-15</w:t>
      </w:r>
      <w:r>
        <w:rPr>
          <w:sz w:val="22"/>
        </w:rPr>
        <w:t>/16</w:t>
      </w:r>
      <w:r w:rsidRPr="005F2073">
        <w:rPr>
          <w:sz w:val="22"/>
        </w:rPr>
        <w:t xml:space="preserve"> specifications</w:t>
      </w:r>
      <w:r>
        <w:rPr>
          <w:sz w:val="22"/>
        </w:rPr>
        <w:t>,</w:t>
      </w:r>
      <w:r w:rsidRPr="005F2073">
        <w:rPr>
          <w:sz w:val="22"/>
        </w:rPr>
        <w:t xml:space="preserve"> </w:t>
      </w:r>
    </w:p>
    <w:p w14:paraId="4D1BE29D" w14:textId="77777777" w:rsidR="00A91A4E" w:rsidRPr="005C0EB0" w:rsidRDefault="00A91A4E" w:rsidP="00A91A4E">
      <w:pPr>
        <w:pStyle w:val="LGTdoc1"/>
        <w:numPr>
          <w:ilvl w:val="3"/>
          <w:numId w:val="43"/>
        </w:numPr>
        <w:snapToGrid/>
        <w:spacing w:beforeLines="0" w:before="100" w:beforeAutospacing="1" w:line="360" w:lineRule="auto"/>
        <w:ind w:left="709"/>
        <w:contextualSpacing/>
        <w:rPr>
          <w:sz w:val="22"/>
          <w:lang w:val="en-US"/>
        </w:rPr>
      </w:pPr>
      <w:r>
        <w:rPr>
          <w:sz w:val="22"/>
        </w:rPr>
        <w:t>E</w:t>
      </w:r>
      <w:r w:rsidRPr="005C0EB0">
        <w:rPr>
          <w:sz w:val="22"/>
          <w:lang w:val="en-US"/>
        </w:rPr>
        <w:t>ach UE Tx panel can correspond to each configured SRS resource set</w:t>
      </w:r>
      <w:r>
        <w:rPr>
          <w:sz w:val="22"/>
          <w:lang w:val="en-US"/>
        </w:rPr>
        <w:t xml:space="preserve"> from simultaneous SRS transmission and power control perspective</w:t>
      </w:r>
      <w:r w:rsidRPr="005C0EB0">
        <w:rPr>
          <w:sz w:val="22"/>
          <w:lang w:val="en-US"/>
        </w:rPr>
        <w:t>, which can be observed at least by the following spec descriptions and agreements:</w:t>
      </w:r>
    </w:p>
    <w:p w14:paraId="41D183F1" w14:textId="77777777" w:rsidR="00A91A4E" w:rsidRPr="005F2073" w:rsidRDefault="00A91A4E" w:rsidP="00A91A4E">
      <w:pPr>
        <w:pStyle w:val="LGTdoc1"/>
        <w:numPr>
          <w:ilvl w:val="4"/>
          <w:numId w:val="43"/>
        </w:numPr>
        <w:snapToGrid/>
        <w:spacing w:beforeLines="0" w:before="100" w:beforeAutospacing="1" w:line="360" w:lineRule="auto"/>
        <w:ind w:left="1276"/>
        <w:contextualSpacing/>
        <w:rPr>
          <w:sz w:val="22"/>
          <w:lang w:val="en-US"/>
        </w:rPr>
      </w:pPr>
      <w:r w:rsidRPr="005F2073">
        <w:rPr>
          <w:sz w:val="22"/>
          <w:lang w:val="en-US"/>
        </w:rPr>
        <w:t>Text on SRS-based UL BM in TS38.214 as “SRS resources in different SRS resource sets wi</w:t>
      </w:r>
      <w:r>
        <w:rPr>
          <w:sz w:val="22"/>
          <w:lang w:val="en-US"/>
        </w:rPr>
        <w:t>th the same time domain behavio</w:t>
      </w:r>
      <w:r w:rsidRPr="005F2073">
        <w:rPr>
          <w:sz w:val="22"/>
          <w:lang w:val="en-US"/>
        </w:rPr>
        <w:t xml:space="preserve">r in the same BWP can be transmitted simultaneously” </w:t>
      </w:r>
    </w:p>
    <w:p w14:paraId="1DBF8567" w14:textId="77777777" w:rsidR="00A91A4E" w:rsidRPr="005F2073" w:rsidRDefault="00A91A4E" w:rsidP="00A91A4E">
      <w:pPr>
        <w:pStyle w:val="LGTdoc1"/>
        <w:numPr>
          <w:ilvl w:val="4"/>
          <w:numId w:val="43"/>
        </w:numPr>
        <w:snapToGrid/>
        <w:spacing w:beforeLines="0" w:before="100" w:beforeAutospacing="1" w:line="360" w:lineRule="auto"/>
        <w:ind w:left="1276"/>
        <w:contextualSpacing/>
        <w:rPr>
          <w:sz w:val="22"/>
          <w:lang w:val="en-US"/>
        </w:rPr>
      </w:pPr>
      <w:r w:rsidRPr="005F2073">
        <w:rPr>
          <w:sz w:val="22"/>
          <w:lang w:val="en-US"/>
        </w:rPr>
        <w:t>Text on SRS power control in TS38.213 as “power control parameters such as P</w:t>
      </w:r>
      <w:r>
        <w:rPr>
          <w:sz w:val="22"/>
          <w:lang w:val="en-US"/>
        </w:rPr>
        <w:t>0</w:t>
      </w:r>
      <w:r w:rsidRPr="005F2073">
        <w:rPr>
          <w:sz w:val="22"/>
          <w:lang w:val="en-US"/>
        </w:rPr>
        <w:t>, alpha, DL RS for PL are all configurable for each SRS resource set q</w:t>
      </w:r>
      <w:r w:rsidRPr="001E3D5C">
        <w:rPr>
          <w:sz w:val="22"/>
          <w:vertAlign w:val="subscript"/>
          <w:lang w:val="en-US"/>
        </w:rPr>
        <w:t>s</w:t>
      </w:r>
      <w:r w:rsidRPr="005F2073">
        <w:rPr>
          <w:sz w:val="22"/>
          <w:lang w:val="en-US"/>
        </w:rPr>
        <w:t>”</w:t>
      </w:r>
    </w:p>
    <w:p w14:paraId="576D7385" w14:textId="77777777" w:rsidR="00A91A4E" w:rsidRPr="005F2073" w:rsidRDefault="00A91A4E" w:rsidP="00A91A4E">
      <w:pPr>
        <w:pStyle w:val="LGTdoc1"/>
        <w:numPr>
          <w:ilvl w:val="4"/>
          <w:numId w:val="43"/>
        </w:numPr>
        <w:snapToGrid/>
        <w:spacing w:beforeLines="0" w:before="100" w:beforeAutospacing="1" w:line="360" w:lineRule="auto"/>
        <w:ind w:left="1276"/>
        <w:contextualSpacing/>
        <w:rPr>
          <w:sz w:val="22"/>
          <w:lang w:val="en-US"/>
        </w:rPr>
      </w:pPr>
      <w:r w:rsidRPr="005F2073">
        <w:rPr>
          <w:sz w:val="22"/>
          <w:lang w:val="en-US"/>
        </w:rPr>
        <w:t>Agreements made in RAN1#95 on FG 2-30 as “Rel-15 UE can report its capability as up to 4 SRS resource sets (which can correspond up to 4 panels) per supported time domain behavior”</w:t>
      </w:r>
    </w:p>
    <w:p w14:paraId="1CF58A83" w14:textId="77777777" w:rsidR="00A91A4E" w:rsidRDefault="00A91A4E" w:rsidP="00A91A4E">
      <w:pPr>
        <w:pStyle w:val="LGTdoc1"/>
        <w:numPr>
          <w:ilvl w:val="3"/>
          <w:numId w:val="43"/>
        </w:numPr>
        <w:snapToGrid/>
        <w:spacing w:beforeLines="0" w:before="100" w:beforeAutospacing="1" w:line="360" w:lineRule="auto"/>
        <w:ind w:left="709"/>
        <w:contextualSpacing/>
        <w:rPr>
          <w:sz w:val="22"/>
        </w:rPr>
      </w:pPr>
      <w:r>
        <w:rPr>
          <w:sz w:val="22"/>
        </w:rPr>
        <w:t>For CB/NCB UL transmission, however, dynamic panel switching with different power control is NOT supported because they are associated with single SRS resource set</w:t>
      </w:r>
    </w:p>
    <w:p w14:paraId="12CF8B39" w14:textId="77777777" w:rsidR="00A91A4E" w:rsidRDefault="00A91A4E" w:rsidP="00A91A4E">
      <w:pPr>
        <w:pStyle w:val="LGTdoc1"/>
        <w:numPr>
          <w:ilvl w:val="3"/>
          <w:numId w:val="43"/>
        </w:numPr>
        <w:snapToGrid/>
        <w:spacing w:beforeLines="0" w:before="100" w:beforeAutospacing="1" w:line="360" w:lineRule="auto"/>
        <w:ind w:left="709"/>
        <w:contextualSpacing/>
        <w:rPr>
          <w:sz w:val="22"/>
        </w:rPr>
      </w:pPr>
      <w:r>
        <w:rPr>
          <w:rFonts w:hint="eastAsia"/>
          <w:sz w:val="22"/>
        </w:rPr>
        <w:t xml:space="preserve">A common TA is applied </w:t>
      </w:r>
      <w:r>
        <w:rPr>
          <w:sz w:val="22"/>
        </w:rPr>
        <w:t>in</w:t>
      </w:r>
      <w:r>
        <w:rPr>
          <w:rFonts w:hint="eastAsia"/>
          <w:sz w:val="22"/>
        </w:rPr>
        <w:t xml:space="preserve"> a single CC/BWP</w:t>
      </w:r>
      <w:r>
        <w:rPr>
          <w:sz w:val="22"/>
        </w:rPr>
        <w:t>, i.e. different panels should use the same TA value even if they are targeting different TRPs</w:t>
      </w:r>
    </w:p>
    <w:p w14:paraId="3F1CD60F" w14:textId="77777777" w:rsidR="00A91A4E" w:rsidRPr="00972BF5" w:rsidRDefault="00A91A4E" w:rsidP="00A91A4E">
      <w:pPr>
        <w:pStyle w:val="LGTdoc1"/>
        <w:numPr>
          <w:ilvl w:val="3"/>
          <w:numId w:val="43"/>
        </w:numPr>
        <w:snapToGrid/>
        <w:spacing w:beforeLines="0" w:before="100" w:beforeAutospacing="1" w:line="360" w:lineRule="auto"/>
        <w:ind w:left="709"/>
        <w:contextualSpacing/>
        <w:rPr>
          <w:sz w:val="22"/>
        </w:rPr>
      </w:pPr>
      <w:r>
        <w:rPr>
          <w:sz w:val="22"/>
        </w:rPr>
        <w:lastRenderedPageBreak/>
        <w:t>UE may switch Tx panel/beam for different SRS/PUCCH/PUSCH transmissions in gNB transparent manner even if their spatial relation is same, so that gNB can experience unexpected UL interference when it happens</w:t>
      </w:r>
    </w:p>
    <w:p w14:paraId="2EE9F3FC" w14:textId="74DFF993" w:rsidR="005872D4" w:rsidRPr="00A91A4E" w:rsidRDefault="00A91A4E" w:rsidP="005872D4">
      <w:pPr>
        <w:pStyle w:val="LGTdoc1"/>
        <w:snapToGrid/>
        <w:spacing w:beforeLines="0" w:before="100" w:beforeAutospacing="1" w:line="360" w:lineRule="auto"/>
        <w:contextualSpacing/>
        <w:rPr>
          <w:sz w:val="22"/>
        </w:rPr>
      </w:pPr>
      <w:r w:rsidRPr="005F2073">
        <w:rPr>
          <w:sz w:val="22"/>
        </w:rPr>
        <w:t>Observation #</w:t>
      </w:r>
      <w:r>
        <w:rPr>
          <w:sz w:val="22"/>
        </w:rPr>
        <w:t>4</w:t>
      </w:r>
      <w:r w:rsidRPr="005F2073">
        <w:rPr>
          <w:sz w:val="22"/>
        </w:rPr>
        <w:t xml:space="preserve">. </w:t>
      </w:r>
      <w:r>
        <w:rPr>
          <w:sz w:val="22"/>
        </w:rPr>
        <w:t>Difference of propagation delay to different TRPs can exceed</w:t>
      </w:r>
      <w:r w:rsidRPr="005F2073">
        <w:rPr>
          <w:sz w:val="22"/>
        </w:rPr>
        <w:t xml:space="preserve"> </w:t>
      </w:r>
      <w:r>
        <w:rPr>
          <w:sz w:val="22"/>
        </w:rPr>
        <w:t>CP length considering MTRP URLLC scenario in FR2, and it can happen more often in FR4. Inter-panel delay is another factor to increase effective delay difference of panels.</w:t>
      </w:r>
    </w:p>
    <w:p w14:paraId="504CDACF" w14:textId="77777777" w:rsidR="00A91A4E" w:rsidRPr="00A91A4E" w:rsidRDefault="00A91A4E" w:rsidP="005872D4">
      <w:pPr>
        <w:pStyle w:val="LGTdoc1"/>
        <w:snapToGrid/>
        <w:spacing w:beforeLines="0" w:before="100" w:beforeAutospacing="1" w:line="360" w:lineRule="auto"/>
        <w:contextualSpacing/>
        <w:rPr>
          <w:sz w:val="22"/>
        </w:rPr>
      </w:pPr>
    </w:p>
    <w:p w14:paraId="30EEF8C8" w14:textId="77777777" w:rsidR="00A91A4E" w:rsidRPr="003C5A11" w:rsidRDefault="00A91A4E" w:rsidP="00A91A4E">
      <w:pPr>
        <w:pStyle w:val="LGTdoc1"/>
        <w:snapToGrid/>
        <w:spacing w:beforeLines="0" w:before="100" w:beforeAutospacing="1" w:line="360" w:lineRule="auto"/>
        <w:contextualSpacing/>
        <w:rPr>
          <w:b w:val="0"/>
          <w:sz w:val="22"/>
        </w:rPr>
      </w:pPr>
      <w:r>
        <w:rPr>
          <w:sz w:val="22"/>
        </w:rPr>
        <w:t>Proposal #1</w:t>
      </w:r>
      <w:r w:rsidRPr="001E20EE">
        <w:rPr>
          <w:sz w:val="22"/>
        </w:rPr>
        <w:t xml:space="preserve">. </w:t>
      </w:r>
      <w:r>
        <w:rPr>
          <w:sz w:val="22"/>
        </w:rPr>
        <w:t>U</w:t>
      </w:r>
      <w:r>
        <w:rPr>
          <w:bCs/>
          <w:sz w:val="22"/>
        </w:rPr>
        <w:t xml:space="preserve">pdating a TCI for a specific pair of TRP and UE panel should be supported, i.e. an updated TCI is applied to a subset of CORESETs and/or a subset of PUCCH resources only. </w:t>
      </w:r>
    </w:p>
    <w:p w14:paraId="5ACAD511" w14:textId="77777777" w:rsidR="00A91A4E" w:rsidRDefault="00A91A4E" w:rsidP="00A91A4E">
      <w:pPr>
        <w:pStyle w:val="LGTdoc1"/>
        <w:snapToGrid/>
        <w:spacing w:beforeLines="0" w:before="100" w:beforeAutospacing="1" w:line="360" w:lineRule="auto"/>
        <w:contextualSpacing/>
        <w:rPr>
          <w:sz w:val="22"/>
        </w:rPr>
      </w:pPr>
      <w:r w:rsidRPr="00390EBF">
        <w:rPr>
          <w:sz w:val="22"/>
        </w:rPr>
        <w:t>Proposal #</w:t>
      </w:r>
      <w:r>
        <w:rPr>
          <w:sz w:val="22"/>
        </w:rPr>
        <w:t>2</w:t>
      </w:r>
      <w:r w:rsidRPr="00390EBF">
        <w:rPr>
          <w:sz w:val="22"/>
        </w:rPr>
        <w:t xml:space="preserve">. </w:t>
      </w:r>
      <w:r>
        <w:rPr>
          <w:rFonts w:hint="eastAsia"/>
          <w:sz w:val="22"/>
        </w:rPr>
        <w:t xml:space="preserve">Introduce </w:t>
      </w:r>
      <w:r>
        <w:rPr>
          <w:sz w:val="22"/>
        </w:rPr>
        <w:t>‘beam linkage state’ configured by RRC in which DL/UL channels/signals that share a common DL RS for QCL type-D RS and/or spatial relation RS are listed across one or multiple CCs. If a QCL type-D RS or spatial relation RS is updated for one of the channels/RSs in the list by legacy beam indication method, the same RS is applied as QCL Type-D RS or spatial relation RS for other channels/RSs in the list.</w:t>
      </w:r>
    </w:p>
    <w:p w14:paraId="325CC0CC" w14:textId="77777777" w:rsidR="00A91A4E" w:rsidRDefault="00A91A4E" w:rsidP="00A91A4E">
      <w:pPr>
        <w:pStyle w:val="LGTdoc1"/>
        <w:snapToGrid/>
        <w:spacing w:beforeLines="0" w:before="100" w:beforeAutospacing="1" w:line="360" w:lineRule="auto"/>
        <w:contextualSpacing/>
        <w:rPr>
          <w:sz w:val="22"/>
        </w:rPr>
      </w:pPr>
      <w:r w:rsidRPr="00390EBF">
        <w:rPr>
          <w:sz w:val="22"/>
        </w:rPr>
        <w:t>Proposal #</w:t>
      </w:r>
      <w:r>
        <w:rPr>
          <w:sz w:val="22"/>
        </w:rPr>
        <w:t>3</w:t>
      </w:r>
      <w:r w:rsidRPr="00390EBF">
        <w:rPr>
          <w:sz w:val="22"/>
        </w:rPr>
        <w:t xml:space="preserve">. </w:t>
      </w:r>
      <w:r>
        <w:rPr>
          <w:sz w:val="22"/>
        </w:rPr>
        <w:t>PUSCH port mapping should be based on SRS ports as Rel-15/16.</w:t>
      </w:r>
    </w:p>
    <w:p w14:paraId="2B5D20DC" w14:textId="77777777" w:rsidR="00A91A4E" w:rsidRDefault="00A91A4E" w:rsidP="00A91A4E">
      <w:pPr>
        <w:pStyle w:val="LGTdoc1"/>
        <w:snapToGrid/>
        <w:spacing w:beforeLines="0" w:before="100" w:beforeAutospacing="1" w:line="360" w:lineRule="auto"/>
        <w:contextualSpacing/>
        <w:rPr>
          <w:sz w:val="22"/>
        </w:rPr>
      </w:pPr>
      <w:r>
        <w:rPr>
          <w:rFonts w:hint="eastAsia"/>
          <w:sz w:val="22"/>
        </w:rPr>
        <w:t>Proposal #</w:t>
      </w:r>
      <w:r>
        <w:rPr>
          <w:sz w:val="22"/>
        </w:rPr>
        <w:t>4</w:t>
      </w:r>
      <w:r>
        <w:rPr>
          <w:rFonts w:hint="eastAsia"/>
          <w:sz w:val="22"/>
        </w:rPr>
        <w:t xml:space="preserve">. </w:t>
      </w:r>
      <w:r>
        <w:rPr>
          <w:sz w:val="22"/>
        </w:rPr>
        <w:t>Before the details of UL TCI signaling, clarify which function/information is to be added by the UL TCI compared to legacy functions.</w:t>
      </w:r>
    </w:p>
    <w:p w14:paraId="2EC26E17" w14:textId="77777777" w:rsidR="00A91A4E" w:rsidRDefault="00A91A4E" w:rsidP="00A91A4E">
      <w:pPr>
        <w:pStyle w:val="LGTdoc1"/>
        <w:snapToGrid/>
        <w:spacing w:beforeLines="0" w:before="100" w:beforeAutospacing="1" w:line="360" w:lineRule="auto"/>
        <w:contextualSpacing/>
        <w:rPr>
          <w:sz w:val="22"/>
        </w:rPr>
      </w:pPr>
      <w:r>
        <w:rPr>
          <w:rFonts w:hint="eastAsia"/>
          <w:sz w:val="22"/>
        </w:rPr>
        <w:t>Proposal #</w:t>
      </w:r>
      <w:r>
        <w:rPr>
          <w:sz w:val="22"/>
        </w:rPr>
        <w:t>5</w:t>
      </w:r>
      <w:r>
        <w:rPr>
          <w:rFonts w:hint="eastAsia"/>
          <w:sz w:val="22"/>
        </w:rPr>
        <w:t xml:space="preserve">. </w:t>
      </w:r>
      <w:r>
        <w:rPr>
          <w:sz w:val="22"/>
        </w:rPr>
        <w:t>Support following additional functions through the UL TCI.</w:t>
      </w:r>
    </w:p>
    <w:p w14:paraId="74063DD9" w14:textId="77777777" w:rsidR="00A91A4E" w:rsidRPr="001E2E19" w:rsidRDefault="00A91A4E" w:rsidP="00A91A4E">
      <w:pPr>
        <w:pStyle w:val="LGTdoc1"/>
        <w:numPr>
          <w:ilvl w:val="3"/>
          <w:numId w:val="43"/>
        </w:numPr>
        <w:snapToGrid/>
        <w:spacing w:beforeLines="0" w:before="100" w:beforeAutospacing="1" w:line="360" w:lineRule="auto"/>
        <w:ind w:left="709"/>
        <w:contextualSpacing/>
        <w:rPr>
          <w:sz w:val="22"/>
        </w:rPr>
      </w:pPr>
      <w:r>
        <w:rPr>
          <w:sz w:val="22"/>
        </w:rPr>
        <w:t>Dynamic panel switching with panel-specific power/timing control</w:t>
      </w:r>
    </w:p>
    <w:p w14:paraId="2E7F9157" w14:textId="77777777" w:rsidR="00A91A4E" w:rsidRDefault="00A91A4E" w:rsidP="00A91A4E">
      <w:pPr>
        <w:pStyle w:val="LGTdoc1"/>
        <w:numPr>
          <w:ilvl w:val="3"/>
          <w:numId w:val="43"/>
        </w:numPr>
        <w:snapToGrid/>
        <w:spacing w:beforeLines="0" w:before="100" w:beforeAutospacing="1" w:line="360" w:lineRule="auto"/>
        <w:ind w:left="709"/>
        <w:contextualSpacing/>
        <w:rPr>
          <w:sz w:val="22"/>
        </w:rPr>
      </w:pPr>
      <w:r>
        <w:rPr>
          <w:sz w:val="22"/>
        </w:rPr>
        <w:t>Signaling of multiple spatial relations for enhanced UL transmission for MTRP</w:t>
      </w:r>
    </w:p>
    <w:p w14:paraId="6EF77278" w14:textId="77777777" w:rsidR="00A91A4E" w:rsidRDefault="00A91A4E" w:rsidP="00A91A4E">
      <w:pPr>
        <w:pStyle w:val="LGTdoc1"/>
        <w:snapToGrid/>
        <w:spacing w:beforeLines="0" w:before="100" w:beforeAutospacing="1" w:line="360" w:lineRule="auto"/>
        <w:contextualSpacing/>
        <w:rPr>
          <w:sz w:val="22"/>
        </w:rPr>
      </w:pPr>
      <w:r w:rsidRPr="00750BAE">
        <w:rPr>
          <w:sz w:val="22"/>
        </w:rPr>
        <w:t>Proposal #6. Support configuring physical cell ID (PCI) of non-serving cell (NSCell) to or with spatial relation info for UL beam indication for L1/L2-centric inter-cell mobility.</w:t>
      </w:r>
    </w:p>
    <w:p w14:paraId="35E311A5" w14:textId="77777777" w:rsidR="000E0149" w:rsidRDefault="000E0149" w:rsidP="000E0149">
      <w:pPr>
        <w:pStyle w:val="LGTdoc1"/>
        <w:snapToGrid/>
        <w:spacing w:beforeLines="0" w:before="100" w:beforeAutospacing="1" w:line="360" w:lineRule="auto"/>
        <w:contextualSpacing/>
        <w:rPr>
          <w:sz w:val="22"/>
        </w:rPr>
      </w:pPr>
      <w:r w:rsidRPr="0085684A">
        <w:rPr>
          <w:sz w:val="22"/>
        </w:rPr>
        <w:t>Proposal #</w:t>
      </w:r>
      <w:r>
        <w:rPr>
          <w:sz w:val="22"/>
        </w:rPr>
        <w:t>7</w:t>
      </w:r>
      <w:r w:rsidRPr="0085684A">
        <w:rPr>
          <w:sz w:val="22"/>
        </w:rPr>
        <w:t xml:space="preserve">. </w:t>
      </w:r>
      <w:r>
        <w:rPr>
          <w:sz w:val="22"/>
        </w:rPr>
        <w:t>Support</w:t>
      </w:r>
      <w:r w:rsidRPr="0085684A">
        <w:rPr>
          <w:sz w:val="22"/>
        </w:rPr>
        <w:t xml:space="preserve"> updat</w:t>
      </w:r>
      <w:r>
        <w:rPr>
          <w:sz w:val="22"/>
        </w:rPr>
        <w:t>ing</w:t>
      </w:r>
      <w:r w:rsidRPr="0085684A">
        <w:rPr>
          <w:sz w:val="22"/>
        </w:rPr>
        <w:t xml:space="preserve"> </w:t>
      </w:r>
      <w:r>
        <w:rPr>
          <w:sz w:val="22"/>
        </w:rPr>
        <w:t>TCI</w:t>
      </w:r>
      <w:r w:rsidRPr="0085684A">
        <w:rPr>
          <w:sz w:val="22"/>
        </w:rPr>
        <w:t xml:space="preserve"> for PDCCH/PUCCH by the dynamically updated </w:t>
      </w:r>
      <w:r>
        <w:rPr>
          <w:sz w:val="22"/>
        </w:rPr>
        <w:t>TCI/spatial relation</w:t>
      </w:r>
      <w:r w:rsidRPr="0085684A">
        <w:rPr>
          <w:sz w:val="22"/>
        </w:rPr>
        <w:t xml:space="preserve"> for PDSCH/PUSCH by </w:t>
      </w:r>
      <w:r>
        <w:rPr>
          <w:sz w:val="22"/>
        </w:rPr>
        <w:t xml:space="preserve">existing </w:t>
      </w:r>
      <w:r w:rsidRPr="0085684A">
        <w:rPr>
          <w:sz w:val="22"/>
        </w:rPr>
        <w:t>DCI.</w:t>
      </w:r>
      <w:r>
        <w:rPr>
          <w:sz w:val="22"/>
        </w:rPr>
        <w:t xml:space="preserve"> </w:t>
      </w:r>
    </w:p>
    <w:p w14:paraId="6328B58A" w14:textId="77777777" w:rsidR="000E0149" w:rsidRDefault="000E0149" w:rsidP="000E0149">
      <w:pPr>
        <w:pStyle w:val="LGTdoc1"/>
        <w:numPr>
          <w:ilvl w:val="3"/>
          <w:numId w:val="43"/>
        </w:numPr>
        <w:snapToGrid/>
        <w:spacing w:beforeLines="0" w:before="100" w:beforeAutospacing="1" w:line="360" w:lineRule="auto"/>
        <w:ind w:left="709"/>
        <w:contextualSpacing/>
        <w:rPr>
          <w:sz w:val="22"/>
        </w:rPr>
      </w:pPr>
      <w:r>
        <w:rPr>
          <w:sz w:val="22"/>
        </w:rPr>
        <w:t>Investigate further whether new DCI/MAC-CE for dynamic TCI update is still needed on top of the above method.</w:t>
      </w:r>
    </w:p>
    <w:p w14:paraId="289A8C77" w14:textId="77777777" w:rsidR="00A91A4E" w:rsidRPr="005F2073" w:rsidRDefault="00A91A4E" w:rsidP="00A91A4E">
      <w:pPr>
        <w:pStyle w:val="LGTdoc1"/>
        <w:snapToGrid/>
        <w:spacing w:beforeLines="0" w:after="240" w:afterAutospacing="0" w:line="360" w:lineRule="auto"/>
        <w:contextualSpacing/>
        <w:rPr>
          <w:sz w:val="22"/>
          <w:lang w:val="en-US"/>
        </w:rPr>
      </w:pPr>
      <w:r>
        <w:rPr>
          <w:sz w:val="22"/>
          <w:lang w:val="en-US"/>
        </w:rPr>
        <w:t xml:space="preserve">Proposal #8: Panel identification method should be supported, e.g. explicit ID can be configured to UL channels/RSs or </w:t>
      </w:r>
      <w:r w:rsidRPr="00A94E13">
        <w:rPr>
          <w:sz w:val="22"/>
          <w:lang w:val="en-US"/>
        </w:rPr>
        <w:t>implicit ID based on a grouping of PUCCH/SRS</w:t>
      </w:r>
      <w:r>
        <w:rPr>
          <w:sz w:val="22"/>
          <w:lang w:val="en-US"/>
        </w:rPr>
        <w:t>/PRACH</w:t>
      </w:r>
      <w:r w:rsidRPr="00A94E13">
        <w:rPr>
          <w:sz w:val="22"/>
          <w:lang w:val="en-US"/>
        </w:rPr>
        <w:t xml:space="preserve"> resources </w:t>
      </w:r>
      <w:r>
        <w:rPr>
          <w:sz w:val="22"/>
          <w:lang w:val="en-US"/>
        </w:rPr>
        <w:t>can be used so that gNB can control UL triggering from a specific UE panel.</w:t>
      </w:r>
    </w:p>
    <w:p w14:paraId="4C0B6A1A" w14:textId="77777777" w:rsidR="00A91A4E" w:rsidRDefault="00A91A4E" w:rsidP="00A91A4E">
      <w:pPr>
        <w:pStyle w:val="LGTdoc1"/>
        <w:snapToGrid/>
        <w:spacing w:beforeLines="0" w:before="100" w:beforeAutospacing="1" w:line="360" w:lineRule="auto"/>
        <w:contextualSpacing/>
        <w:rPr>
          <w:sz w:val="22"/>
        </w:rPr>
      </w:pPr>
      <w:r>
        <w:rPr>
          <w:sz w:val="22"/>
          <w:lang w:val="en-US"/>
        </w:rPr>
        <w:t>P</w:t>
      </w:r>
      <w:r>
        <w:rPr>
          <w:rFonts w:hint="eastAsia"/>
          <w:sz w:val="22"/>
        </w:rPr>
        <w:t xml:space="preserve">roposal </w:t>
      </w:r>
      <w:r>
        <w:rPr>
          <w:sz w:val="22"/>
        </w:rPr>
        <w:t>#9</w:t>
      </w:r>
      <w:r>
        <w:rPr>
          <w:rFonts w:hint="eastAsia"/>
          <w:sz w:val="22"/>
        </w:rPr>
        <w:t>. Support the same/different sets of UE panels for the purpose of DL reception and UL transmission.</w:t>
      </w:r>
    </w:p>
    <w:p w14:paraId="6CF23C1D" w14:textId="77777777" w:rsidR="00A91A4E" w:rsidRPr="005F2073" w:rsidRDefault="00A91A4E" w:rsidP="00A91A4E">
      <w:pPr>
        <w:pStyle w:val="LGTdoc1"/>
        <w:snapToGrid/>
        <w:spacing w:beforeLines="0" w:before="100" w:beforeAutospacing="1" w:line="360" w:lineRule="auto"/>
        <w:contextualSpacing/>
        <w:rPr>
          <w:sz w:val="22"/>
        </w:rPr>
      </w:pPr>
      <w:r w:rsidRPr="005F2073">
        <w:rPr>
          <w:sz w:val="22"/>
        </w:rPr>
        <w:t xml:space="preserve">Proposal </w:t>
      </w:r>
      <w:r>
        <w:rPr>
          <w:sz w:val="22"/>
        </w:rPr>
        <w:t>#10</w:t>
      </w:r>
      <w:r w:rsidRPr="005F2073">
        <w:rPr>
          <w:sz w:val="22"/>
        </w:rPr>
        <w:t xml:space="preserve">. For MP-UE assumption, one or multiple combination of below </w:t>
      </w:r>
      <w:r>
        <w:rPr>
          <w:sz w:val="22"/>
        </w:rPr>
        <w:t xml:space="preserve">are used </w:t>
      </w:r>
      <w:r w:rsidRPr="005F2073">
        <w:rPr>
          <w:sz w:val="22"/>
        </w:rPr>
        <w:t>depending on different UE implementation.</w:t>
      </w:r>
    </w:p>
    <w:p w14:paraId="23F9081E" w14:textId="77777777" w:rsidR="00A91A4E" w:rsidRPr="005F2073" w:rsidRDefault="00A91A4E" w:rsidP="00A91A4E">
      <w:pPr>
        <w:pStyle w:val="LGTdoc1"/>
        <w:numPr>
          <w:ilvl w:val="3"/>
          <w:numId w:val="43"/>
        </w:numPr>
        <w:snapToGrid/>
        <w:spacing w:beforeLines="0" w:before="100" w:beforeAutospacing="1" w:line="360" w:lineRule="auto"/>
        <w:ind w:left="709"/>
        <w:contextualSpacing/>
        <w:rPr>
          <w:sz w:val="22"/>
          <w:lang w:val="en-US"/>
        </w:rPr>
      </w:pPr>
      <w:r w:rsidRPr="005F2073">
        <w:rPr>
          <w:sz w:val="22"/>
          <w:lang w:val="en-US"/>
        </w:rPr>
        <w:t>Unit of antenna group to control its Tx beam independently</w:t>
      </w:r>
    </w:p>
    <w:p w14:paraId="23B929D0" w14:textId="77777777" w:rsidR="00A91A4E" w:rsidRPr="005F2073" w:rsidRDefault="00A91A4E" w:rsidP="00A91A4E">
      <w:pPr>
        <w:pStyle w:val="LGTdoc1"/>
        <w:numPr>
          <w:ilvl w:val="1"/>
          <w:numId w:val="43"/>
        </w:numPr>
        <w:snapToGrid/>
        <w:spacing w:beforeLines="0" w:before="100" w:beforeAutospacing="1" w:line="360" w:lineRule="auto"/>
        <w:contextualSpacing/>
        <w:rPr>
          <w:sz w:val="22"/>
          <w:lang w:val="en-US"/>
        </w:rPr>
      </w:pPr>
      <w:r w:rsidRPr="005F2073">
        <w:rPr>
          <w:sz w:val="22"/>
          <w:lang w:val="en-US"/>
        </w:rPr>
        <w:t>Within a panel, one beam can be selected and used for UL transmission.</w:t>
      </w:r>
    </w:p>
    <w:p w14:paraId="1185CBE9" w14:textId="77777777" w:rsidR="00A91A4E" w:rsidRPr="005F2073" w:rsidRDefault="00A91A4E" w:rsidP="00A91A4E">
      <w:pPr>
        <w:pStyle w:val="LGTdoc1"/>
        <w:numPr>
          <w:ilvl w:val="1"/>
          <w:numId w:val="43"/>
        </w:numPr>
        <w:snapToGrid/>
        <w:spacing w:beforeLines="0" w:before="100" w:beforeAutospacing="1" w:line="360" w:lineRule="auto"/>
        <w:contextualSpacing/>
        <w:rPr>
          <w:sz w:val="22"/>
          <w:lang w:val="en-US"/>
        </w:rPr>
      </w:pPr>
      <w:r w:rsidRPr="005F2073">
        <w:rPr>
          <w:sz w:val="22"/>
          <w:lang w:val="en-US"/>
        </w:rPr>
        <w:t>Across different panels, multiple beams (each selected per panel) may be used for UL transmission</w:t>
      </w:r>
    </w:p>
    <w:p w14:paraId="54EC57B9" w14:textId="77777777" w:rsidR="00A91A4E" w:rsidRPr="005F2073" w:rsidRDefault="00A91A4E" w:rsidP="00A91A4E">
      <w:pPr>
        <w:pStyle w:val="LGTdoc1"/>
        <w:numPr>
          <w:ilvl w:val="3"/>
          <w:numId w:val="43"/>
        </w:numPr>
        <w:snapToGrid/>
        <w:spacing w:beforeLines="0" w:before="100" w:beforeAutospacing="1" w:line="360" w:lineRule="auto"/>
        <w:ind w:left="709"/>
        <w:contextualSpacing/>
        <w:rPr>
          <w:sz w:val="22"/>
          <w:lang w:val="en-US"/>
        </w:rPr>
      </w:pPr>
      <w:r w:rsidRPr="005F2073">
        <w:rPr>
          <w:sz w:val="22"/>
          <w:lang w:val="en-US"/>
        </w:rPr>
        <w:t>Unit of antenna group to control its transmission power independently</w:t>
      </w:r>
    </w:p>
    <w:p w14:paraId="09EE4940" w14:textId="77777777" w:rsidR="00A91A4E" w:rsidRPr="005F2073" w:rsidRDefault="00A91A4E" w:rsidP="00A91A4E">
      <w:pPr>
        <w:pStyle w:val="LGTdoc1"/>
        <w:numPr>
          <w:ilvl w:val="3"/>
          <w:numId w:val="43"/>
        </w:numPr>
        <w:snapToGrid/>
        <w:spacing w:beforeLines="0" w:before="100" w:beforeAutospacing="1" w:line="360" w:lineRule="auto"/>
        <w:ind w:left="709"/>
        <w:contextualSpacing/>
        <w:rPr>
          <w:sz w:val="22"/>
          <w:lang w:val="en-US"/>
        </w:rPr>
      </w:pPr>
      <w:r w:rsidRPr="005F2073">
        <w:rPr>
          <w:sz w:val="22"/>
          <w:lang w:val="en-US"/>
        </w:rPr>
        <w:t>Unit of antenna group to control its transmission timing independently</w:t>
      </w:r>
    </w:p>
    <w:p w14:paraId="157CC517" w14:textId="77777777" w:rsidR="00A91A4E" w:rsidRDefault="00A91A4E" w:rsidP="00A91A4E">
      <w:pPr>
        <w:pStyle w:val="LGTdoc1"/>
        <w:snapToGrid/>
        <w:spacing w:beforeLines="0" w:after="240" w:afterAutospacing="0" w:line="360" w:lineRule="auto"/>
        <w:contextualSpacing/>
        <w:rPr>
          <w:sz w:val="22"/>
          <w:lang w:val="en-US"/>
        </w:rPr>
      </w:pPr>
      <w:r>
        <w:rPr>
          <w:sz w:val="22"/>
          <w:lang w:val="en-US"/>
        </w:rPr>
        <w:t>Proposal #11: Support panel-specific power and timing control.</w:t>
      </w:r>
    </w:p>
    <w:p w14:paraId="6EA1B69B" w14:textId="77777777" w:rsidR="00A91A4E" w:rsidRDefault="00A91A4E" w:rsidP="00A91A4E">
      <w:pPr>
        <w:pStyle w:val="LGTdoc1"/>
        <w:snapToGrid/>
        <w:spacing w:beforeLines="0" w:before="100" w:beforeAutospacing="1" w:line="360" w:lineRule="auto"/>
        <w:contextualSpacing/>
        <w:rPr>
          <w:sz w:val="22"/>
        </w:rPr>
      </w:pPr>
      <w:r>
        <w:rPr>
          <w:sz w:val="22"/>
        </w:rPr>
        <w:t xml:space="preserve">Proposal #12. </w:t>
      </w:r>
      <w:r w:rsidRPr="00151090">
        <w:rPr>
          <w:sz w:val="22"/>
        </w:rPr>
        <w:t>For MP-UE</w:t>
      </w:r>
      <w:r>
        <w:rPr>
          <w:sz w:val="22"/>
        </w:rPr>
        <w:t xml:space="preserve"> </w:t>
      </w:r>
      <w:r>
        <w:rPr>
          <w:rFonts w:hint="eastAsia"/>
          <w:sz w:val="22"/>
        </w:rPr>
        <w:t xml:space="preserve">power control, panel-specific PL RS configuration/activation needs to be supported, and </w:t>
      </w:r>
      <w:r>
        <w:rPr>
          <w:sz w:val="22"/>
        </w:rPr>
        <w:t xml:space="preserve">panel-wise </w:t>
      </w:r>
      <w:r>
        <w:rPr>
          <w:rFonts w:hint="eastAsia"/>
          <w:sz w:val="22"/>
        </w:rPr>
        <w:t xml:space="preserve">tracking </w:t>
      </w:r>
      <w:r>
        <w:rPr>
          <w:sz w:val="22"/>
        </w:rPr>
        <w:t xml:space="preserve">RSs should also be clarified.  </w:t>
      </w:r>
    </w:p>
    <w:p w14:paraId="4CE73B70" w14:textId="77777777" w:rsidR="00A91A4E" w:rsidRDefault="00A91A4E" w:rsidP="00A91A4E">
      <w:pPr>
        <w:pStyle w:val="LGTdoc1"/>
        <w:snapToGrid/>
        <w:spacing w:beforeLines="0" w:before="100" w:beforeAutospacing="1" w:line="360" w:lineRule="auto"/>
        <w:contextualSpacing/>
        <w:rPr>
          <w:sz w:val="22"/>
        </w:rPr>
      </w:pPr>
      <w:r>
        <w:rPr>
          <w:rFonts w:hint="eastAsia"/>
          <w:sz w:val="22"/>
        </w:rPr>
        <w:lastRenderedPageBreak/>
        <w:t>Proposal #</w:t>
      </w:r>
      <w:r>
        <w:rPr>
          <w:sz w:val="22"/>
        </w:rPr>
        <w:t>13</w:t>
      </w:r>
      <w:r>
        <w:rPr>
          <w:rFonts w:hint="eastAsia"/>
          <w:sz w:val="22"/>
        </w:rPr>
        <w:t xml:space="preserve">. </w:t>
      </w:r>
      <w:r>
        <w:rPr>
          <w:sz w:val="22"/>
        </w:rPr>
        <w:t>Support UE to report the occurrence of MPE event for a panel by enhancing Rel-16 BFR.</w:t>
      </w:r>
    </w:p>
    <w:p w14:paraId="04FECD8B" w14:textId="77777777" w:rsidR="008230DF" w:rsidRPr="00A91A4E" w:rsidRDefault="008230DF" w:rsidP="003E579D">
      <w:pPr>
        <w:pStyle w:val="LGTdoc1"/>
        <w:snapToGrid/>
        <w:spacing w:beforeLines="0" w:before="0" w:after="240" w:afterAutospacing="0" w:line="360" w:lineRule="auto"/>
        <w:contextualSpacing/>
      </w:pPr>
    </w:p>
    <w:p w14:paraId="0E3DAADC" w14:textId="7597F8ED" w:rsidR="00E74D3F" w:rsidRDefault="000A5252" w:rsidP="00163FA1">
      <w:pPr>
        <w:pStyle w:val="1"/>
        <w:numPr>
          <w:ilvl w:val="0"/>
          <w:numId w:val="1"/>
        </w:numPr>
        <w:ind w:left="426" w:hanging="426"/>
      </w:pPr>
      <w:r>
        <w:t>Reference</w:t>
      </w:r>
      <w:r w:rsidR="00410A6C">
        <w:t>s</w:t>
      </w:r>
    </w:p>
    <w:p w14:paraId="6E4E61A7" w14:textId="1CA358C8" w:rsidR="0080603D" w:rsidRDefault="00773B11" w:rsidP="006C4E92">
      <w:pPr>
        <w:pStyle w:val="LGTdoc1"/>
        <w:snapToGrid/>
        <w:spacing w:beforeLines="0" w:before="100" w:beforeAutospacing="1"/>
        <w:contextualSpacing/>
        <w:rPr>
          <w:b w:val="0"/>
          <w:sz w:val="20"/>
          <w:lang w:val="en-US"/>
        </w:rPr>
      </w:pPr>
      <w:r>
        <w:rPr>
          <w:rFonts w:hint="eastAsia"/>
          <w:b w:val="0"/>
          <w:sz w:val="20"/>
          <w:lang w:val="en-US"/>
        </w:rPr>
        <w:t xml:space="preserve">[1] </w:t>
      </w:r>
      <w:r w:rsidR="0051576F">
        <w:rPr>
          <w:b w:val="0"/>
          <w:sz w:val="20"/>
          <w:lang w:val="en-US"/>
        </w:rPr>
        <w:t>RP</w:t>
      </w:r>
      <w:r w:rsidR="0080603D" w:rsidRPr="0080603D">
        <w:rPr>
          <w:b w:val="0"/>
          <w:sz w:val="20"/>
          <w:lang w:val="en-US"/>
        </w:rPr>
        <w:t>-</w:t>
      </w:r>
      <w:r w:rsidR="0051576F">
        <w:rPr>
          <w:b w:val="0"/>
          <w:sz w:val="20"/>
          <w:lang w:val="en-US"/>
        </w:rPr>
        <w:t>193133</w:t>
      </w:r>
      <w:r w:rsidR="00CF56C0">
        <w:rPr>
          <w:b w:val="0"/>
          <w:sz w:val="20"/>
          <w:lang w:val="en-US"/>
        </w:rPr>
        <w:tab/>
      </w:r>
      <w:r w:rsidR="00E75EA8">
        <w:rPr>
          <w:b w:val="0"/>
          <w:sz w:val="20"/>
          <w:lang w:val="en-US"/>
        </w:rPr>
        <w:tab/>
      </w:r>
      <w:r w:rsidR="0051576F">
        <w:rPr>
          <w:b w:val="0"/>
          <w:sz w:val="20"/>
          <w:lang w:val="en-US"/>
        </w:rPr>
        <w:t>New WID: Further enhancements on MIMO for NR</w:t>
      </w:r>
      <w:r w:rsidR="00CF56C0">
        <w:rPr>
          <w:b w:val="0"/>
          <w:sz w:val="20"/>
          <w:lang w:val="en-US"/>
        </w:rPr>
        <w:tab/>
      </w:r>
      <w:r w:rsidR="00E75EA8">
        <w:rPr>
          <w:b w:val="0"/>
          <w:sz w:val="20"/>
          <w:lang w:val="en-US"/>
        </w:rPr>
        <w:tab/>
      </w:r>
      <w:r w:rsidR="0051576F">
        <w:rPr>
          <w:b w:val="0"/>
          <w:sz w:val="20"/>
          <w:lang w:val="en-US"/>
        </w:rPr>
        <w:t>Samsung</w:t>
      </w:r>
    </w:p>
    <w:p w14:paraId="08E6F6F9" w14:textId="707474AC" w:rsidR="00983E2A" w:rsidRDefault="00983E2A" w:rsidP="006C4E92">
      <w:pPr>
        <w:pStyle w:val="LGTdoc1"/>
        <w:snapToGrid/>
        <w:spacing w:beforeLines="0" w:before="100" w:beforeAutospacing="1"/>
        <w:contextualSpacing/>
        <w:rPr>
          <w:b w:val="0"/>
          <w:sz w:val="20"/>
          <w:lang w:val="en-US"/>
        </w:rPr>
      </w:pPr>
      <w:r>
        <w:rPr>
          <w:b w:val="0"/>
          <w:sz w:val="20"/>
          <w:lang w:val="en-US"/>
        </w:rPr>
        <w:t>[2] 3GPP</w:t>
      </w:r>
      <w:r>
        <w:rPr>
          <w:b w:val="0"/>
          <w:sz w:val="20"/>
          <w:lang w:val="en-US"/>
        </w:rPr>
        <w:tab/>
        <w:t>RAN1</w:t>
      </w:r>
      <w:r>
        <w:rPr>
          <w:b w:val="0"/>
          <w:sz w:val="20"/>
          <w:lang w:val="en-US"/>
        </w:rPr>
        <w:tab/>
      </w:r>
      <w:r w:rsidR="00E75EA8">
        <w:rPr>
          <w:b w:val="0"/>
          <w:sz w:val="20"/>
          <w:lang w:val="en-US"/>
        </w:rPr>
        <w:tab/>
      </w:r>
      <w:r>
        <w:rPr>
          <w:b w:val="0"/>
          <w:sz w:val="20"/>
          <w:lang w:val="en-US"/>
        </w:rPr>
        <w:t>RAN1 Chairman’s Notes (RAN1#102-e)</w:t>
      </w:r>
    </w:p>
    <w:p w14:paraId="10A0FC59" w14:textId="1DA51CDE" w:rsidR="00AE4EB9" w:rsidRPr="00A94E13" w:rsidRDefault="00AE4EB9" w:rsidP="00AE4EB9">
      <w:pPr>
        <w:pStyle w:val="LGTdoc1"/>
        <w:snapToGrid/>
        <w:spacing w:beforeLines="0" w:before="100" w:beforeAutospacing="1"/>
        <w:contextualSpacing/>
        <w:rPr>
          <w:b w:val="0"/>
          <w:sz w:val="20"/>
          <w:lang w:val="en-US"/>
        </w:rPr>
      </w:pPr>
      <w:r>
        <w:rPr>
          <w:b w:val="0"/>
          <w:sz w:val="20"/>
          <w:lang w:val="en-US"/>
        </w:rPr>
        <w:t>[3] R1-2008575</w:t>
      </w:r>
      <w:r>
        <w:rPr>
          <w:b w:val="0"/>
          <w:sz w:val="20"/>
          <w:lang w:val="en-US"/>
        </w:rPr>
        <w:tab/>
      </w:r>
      <w:r>
        <w:rPr>
          <w:b w:val="0"/>
          <w:sz w:val="20"/>
          <w:lang w:val="en-US"/>
        </w:rPr>
        <w:tab/>
        <w:t>Enhancements on Multi-TRP inter-cell operation</w:t>
      </w:r>
      <w:r>
        <w:rPr>
          <w:b w:val="0"/>
          <w:sz w:val="20"/>
          <w:lang w:val="en-US"/>
        </w:rPr>
        <w:tab/>
      </w:r>
      <w:r>
        <w:rPr>
          <w:b w:val="0"/>
          <w:sz w:val="20"/>
          <w:lang w:val="en-US"/>
        </w:rPr>
        <w:tab/>
      </w:r>
      <w:r>
        <w:rPr>
          <w:b w:val="0"/>
          <w:sz w:val="20"/>
          <w:lang w:val="en-US"/>
        </w:rPr>
        <w:tab/>
        <w:t>LG</w:t>
      </w:r>
    </w:p>
    <w:p w14:paraId="0868E2C3" w14:textId="2ED55CEE" w:rsidR="00A94E13" w:rsidRDefault="00A94E13" w:rsidP="00AE4EB9">
      <w:pPr>
        <w:pStyle w:val="LGTdoc1"/>
        <w:snapToGrid/>
        <w:spacing w:beforeLines="0" w:before="100" w:beforeAutospacing="1"/>
        <w:contextualSpacing/>
        <w:rPr>
          <w:b w:val="0"/>
          <w:sz w:val="20"/>
          <w:lang w:val="en-US"/>
        </w:rPr>
      </w:pPr>
      <w:r>
        <w:rPr>
          <w:b w:val="0"/>
          <w:sz w:val="20"/>
          <w:lang w:val="en-US"/>
        </w:rPr>
        <w:t>[</w:t>
      </w:r>
      <w:r w:rsidR="005C0EB0">
        <w:rPr>
          <w:b w:val="0"/>
          <w:sz w:val="20"/>
          <w:lang w:val="en-US"/>
        </w:rPr>
        <w:t>4</w:t>
      </w:r>
      <w:r>
        <w:rPr>
          <w:b w:val="0"/>
          <w:sz w:val="20"/>
          <w:lang w:val="en-US"/>
        </w:rPr>
        <w:t>] R1-1913604</w:t>
      </w:r>
      <w:r>
        <w:rPr>
          <w:b w:val="0"/>
          <w:sz w:val="20"/>
          <w:lang w:val="en-US"/>
        </w:rPr>
        <w:tab/>
      </w:r>
      <w:r w:rsidR="00E75EA8">
        <w:rPr>
          <w:b w:val="0"/>
          <w:sz w:val="20"/>
          <w:lang w:val="en-US"/>
        </w:rPr>
        <w:tab/>
      </w:r>
      <w:r>
        <w:rPr>
          <w:b w:val="0"/>
          <w:sz w:val="20"/>
          <w:lang w:val="en-US"/>
        </w:rPr>
        <w:t>RAN1 agreements for NR_eMIMO (MB1)</w:t>
      </w:r>
      <w:r>
        <w:rPr>
          <w:b w:val="0"/>
          <w:sz w:val="20"/>
          <w:lang w:val="en-US"/>
        </w:rPr>
        <w:tab/>
      </w:r>
      <w:r>
        <w:rPr>
          <w:b w:val="0"/>
          <w:sz w:val="20"/>
          <w:lang w:val="en-US"/>
        </w:rPr>
        <w:tab/>
      </w:r>
      <w:r w:rsidR="00E75EA8">
        <w:rPr>
          <w:b w:val="0"/>
          <w:sz w:val="20"/>
          <w:lang w:val="en-US"/>
        </w:rPr>
        <w:tab/>
      </w:r>
      <w:r>
        <w:rPr>
          <w:b w:val="0"/>
          <w:sz w:val="20"/>
          <w:lang w:val="en-US"/>
        </w:rPr>
        <w:t>Samsung</w:t>
      </w:r>
    </w:p>
    <w:p w14:paraId="6D9D5726" w14:textId="5CD4F9CC" w:rsidR="00E75EA8" w:rsidRPr="0051576F" w:rsidRDefault="00E75EA8" w:rsidP="00A94E13">
      <w:pPr>
        <w:pStyle w:val="LGTdoc1"/>
        <w:snapToGrid/>
        <w:spacing w:beforeLines="0" w:before="100" w:beforeAutospacing="1"/>
        <w:contextualSpacing/>
        <w:rPr>
          <w:b w:val="0"/>
          <w:sz w:val="20"/>
          <w:lang w:val="en-US"/>
        </w:rPr>
      </w:pPr>
      <w:r>
        <w:rPr>
          <w:b w:val="0"/>
          <w:sz w:val="20"/>
          <w:lang w:val="en-US"/>
        </w:rPr>
        <w:t>[</w:t>
      </w:r>
      <w:r w:rsidR="005C0EB0">
        <w:rPr>
          <w:b w:val="0"/>
          <w:sz w:val="20"/>
          <w:lang w:val="en-US"/>
        </w:rPr>
        <w:t>5</w:t>
      </w:r>
      <w:r>
        <w:rPr>
          <w:b w:val="0"/>
          <w:sz w:val="20"/>
          <w:lang w:val="en-US"/>
        </w:rPr>
        <w:t>] R1-1900623</w:t>
      </w:r>
      <w:r>
        <w:rPr>
          <w:b w:val="0"/>
          <w:sz w:val="20"/>
          <w:lang w:val="en-US"/>
        </w:rPr>
        <w:tab/>
      </w:r>
      <w:r>
        <w:rPr>
          <w:b w:val="0"/>
          <w:sz w:val="20"/>
          <w:lang w:val="en-US"/>
        </w:rPr>
        <w:tab/>
        <w:t>Discussion on multi-beam based operation and enhancements</w:t>
      </w:r>
      <w:r>
        <w:rPr>
          <w:b w:val="0"/>
          <w:sz w:val="20"/>
          <w:lang w:val="en-US"/>
        </w:rPr>
        <w:tab/>
        <w:t>LG</w:t>
      </w:r>
    </w:p>
    <w:p w14:paraId="2F87D0FA" w14:textId="1687C30B" w:rsidR="00A94E13" w:rsidRPr="000C39F2" w:rsidRDefault="000C39F2" w:rsidP="006B133D">
      <w:pPr>
        <w:pStyle w:val="LGTdoc1"/>
        <w:snapToGrid/>
        <w:spacing w:beforeLines="0" w:before="100" w:beforeAutospacing="1"/>
        <w:ind w:left="200" w:hangingChars="100" w:hanging="200"/>
        <w:contextualSpacing/>
        <w:rPr>
          <w:b w:val="0"/>
          <w:sz w:val="20"/>
          <w:lang w:val="en-US"/>
        </w:rPr>
      </w:pPr>
      <w:r>
        <w:rPr>
          <w:b w:val="0"/>
          <w:sz w:val="20"/>
          <w:lang w:val="en-US"/>
        </w:rPr>
        <w:t>[6] R1-</w:t>
      </w:r>
      <w:r w:rsidR="00B72DCE">
        <w:rPr>
          <w:b w:val="0"/>
          <w:sz w:val="20"/>
          <w:lang w:val="en-US"/>
        </w:rPr>
        <w:t>2008574</w:t>
      </w:r>
      <w:r>
        <w:rPr>
          <w:b w:val="0"/>
          <w:sz w:val="20"/>
          <w:lang w:val="en-US"/>
        </w:rPr>
        <w:tab/>
      </w:r>
      <w:r>
        <w:rPr>
          <w:b w:val="0"/>
          <w:sz w:val="20"/>
          <w:lang w:val="en-US"/>
        </w:rPr>
        <w:tab/>
      </w:r>
      <w:r>
        <w:rPr>
          <w:rFonts w:hint="eastAsia"/>
          <w:b w:val="0"/>
          <w:sz w:val="20"/>
          <w:lang w:val="en-US"/>
        </w:rPr>
        <w:t>Enhancements</w:t>
      </w:r>
      <w:r>
        <w:rPr>
          <w:b w:val="0"/>
          <w:sz w:val="20"/>
          <w:lang w:val="en-US"/>
        </w:rPr>
        <w:t xml:space="preserve"> on Multi-TRP for PDCCH, PUCCH and PUSCH</w:t>
      </w:r>
      <w:r>
        <w:rPr>
          <w:b w:val="0"/>
          <w:sz w:val="20"/>
          <w:lang w:val="en-US"/>
        </w:rPr>
        <w:tab/>
        <w:t>LG</w:t>
      </w:r>
    </w:p>
    <w:sectPr w:rsidR="00A94E13" w:rsidRPr="000C39F2" w:rsidSect="000C7429">
      <w:pgSz w:w="11906" w:h="16838"/>
      <w:pgMar w:top="406" w:right="1440" w:bottom="364"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C0E3F" w14:textId="77777777" w:rsidR="00195F8E" w:rsidRDefault="00195F8E" w:rsidP="00D30654">
      <w:pPr>
        <w:spacing w:after="0" w:line="240" w:lineRule="auto"/>
      </w:pPr>
      <w:r>
        <w:separator/>
      </w:r>
    </w:p>
  </w:endnote>
  <w:endnote w:type="continuationSeparator" w:id="0">
    <w:p w14:paraId="08056EFE" w14:textId="77777777" w:rsidR="00195F8E" w:rsidRDefault="00195F8E"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42B2A" w14:textId="77777777" w:rsidR="00195F8E" w:rsidRDefault="00195F8E" w:rsidP="00D30654">
      <w:pPr>
        <w:spacing w:after="0" w:line="240" w:lineRule="auto"/>
      </w:pPr>
      <w:r>
        <w:separator/>
      </w:r>
    </w:p>
  </w:footnote>
  <w:footnote w:type="continuationSeparator" w:id="0">
    <w:p w14:paraId="598B4843" w14:textId="77777777" w:rsidR="00195F8E" w:rsidRDefault="00195F8E"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75FFC"/>
    <w:multiLevelType w:val="hybridMultilevel"/>
    <w:tmpl w:val="0752516E"/>
    <w:lvl w:ilvl="0" w:tplc="432A280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A1CCB"/>
    <w:multiLevelType w:val="hybridMultilevel"/>
    <w:tmpl w:val="1550DED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9C4A72"/>
    <w:multiLevelType w:val="hybridMultilevel"/>
    <w:tmpl w:val="79B212FE"/>
    <w:lvl w:ilvl="0" w:tplc="74F8EA7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7A16419C">
      <w:numFmt w:val="bullet"/>
      <w:lvlText w:val="-"/>
      <w:lvlJc w:val="left"/>
      <w:pPr>
        <w:ind w:left="2400" w:hanging="400"/>
      </w:pPr>
      <w:rPr>
        <w:rFonts w:ascii="Times New Roman" w:eastAsia="맑은 고딕" w:hAnsi="Times New Roman" w:cs="Times New Roman" w:hint="default"/>
      </w:r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526A3"/>
    <w:multiLevelType w:val="hybridMultilevel"/>
    <w:tmpl w:val="E00E1C44"/>
    <w:lvl w:ilvl="0" w:tplc="04090001">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4D2153"/>
    <w:multiLevelType w:val="hybridMultilevel"/>
    <w:tmpl w:val="ADCCF87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53F0D"/>
    <w:multiLevelType w:val="hybridMultilevel"/>
    <w:tmpl w:val="AD725BA4"/>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 w15:restartNumberingAfterBreak="0">
    <w:nsid w:val="26665E5C"/>
    <w:multiLevelType w:val="hybridMultilevel"/>
    <w:tmpl w:val="6928BCC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8F79F6"/>
    <w:multiLevelType w:val="hybridMultilevel"/>
    <w:tmpl w:val="542A6580"/>
    <w:lvl w:ilvl="0" w:tplc="DB60718C">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322A2B09"/>
    <w:multiLevelType w:val="hybridMultilevel"/>
    <w:tmpl w:val="10A4D40E"/>
    <w:lvl w:ilvl="0" w:tplc="043244F6">
      <w:start w:val="5"/>
      <w:numFmt w:val="bullet"/>
      <w:lvlText w:val="-"/>
      <w:lvlJc w:val="left"/>
      <w:pPr>
        <w:ind w:left="2360" w:hanging="360"/>
      </w:pPr>
      <w:rPr>
        <w:rFonts w:ascii="Times New Roman" w:eastAsia="바탕" w:hAnsi="Times New Roman" w:cs="Times New Roman" w:hint="default"/>
      </w:rPr>
    </w:lvl>
    <w:lvl w:ilvl="1" w:tplc="04090003">
      <w:start w:val="1"/>
      <w:numFmt w:val="bullet"/>
      <w:lvlText w:val=""/>
      <w:lvlJc w:val="left"/>
      <w:pPr>
        <w:ind w:left="2800" w:hanging="400"/>
      </w:pPr>
      <w:rPr>
        <w:rFonts w:ascii="Wingdings" w:hAnsi="Wingdings" w:hint="default"/>
      </w:rPr>
    </w:lvl>
    <w:lvl w:ilvl="2" w:tplc="04090005">
      <w:start w:val="1"/>
      <w:numFmt w:val="bullet"/>
      <w:lvlText w:val=""/>
      <w:lvlJc w:val="left"/>
      <w:pPr>
        <w:ind w:left="3200" w:hanging="400"/>
      </w:pPr>
      <w:rPr>
        <w:rFonts w:ascii="Wingdings" w:hAnsi="Wingdings" w:hint="default"/>
      </w:rPr>
    </w:lvl>
    <w:lvl w:ilvl="3" w:tplc="04090001">
      <w:start w:val="1"/>
      <w:numFmt w:val="bullet"/>
      <w:lvlText w:val=""/>
      <w:lvlJc w:val="left"/>
      <w:pPr>
        <w:ind w:left="3600" w:hanging="400"/>
      </w:pPr>
      <w:rPr>
        <w:rFonts w:ascii="Wingdings" w:hAnsi="Wingdings" w:hint="default"/>
      </w:rPr>
    </w:lvl>
    <w:lvl w:ilvl="4" w:tplc="04090003">
      <w:start w:val="1"/>
      <w:numFmt w:val="bullet"/>
      <w:lvlText w:val=""/>
      <w:lvlJc w:val="left"/>
      <w:pPr>
        <w:ind w:left="4000" w:hanging="400"/>
      </w:pPr>
      <w:rPr>
        <w:rFonts w:ascii="Wingdings" w:hAnsi="Wingdings" w:hint="default"/>
      </w:rPr>
    </w:lvl>
    <w:lvl w:ilvl="5" w:tplc="04090005">
      <w:start w:val="1"/>
      <w:numFmt w:val="bullet"/>
      <w:lvlText w:val=""/>
      <w:lvlJc w:val="left"/>
      <w:pPr>
        <w:ind w:left="4400" w:hanging="400"/>
      </w:pPr>
      <w:rPr>
        <w:rFonts w:ascii="Wingdings" w:hAnsi="Wingdings" w:hint="default"/>
      </w:rPr>
    </w:lvl>
    <w:lvl w:ilvl="6" w:tplc="04090001">
      <w:start w:val="1"/>
      <w:numFmt w:val="bullet"/>
      <w:lvlText w:val=""/>
      <w:lvlJc w:val="left"/>
      <w:pPr>
        <w:ind w:left="4800" w:hanging="400"/>
      </w:pPr>
      <w:rPr>
        <w:rFonts w:ascii="Wingdings" w:hAnsi="Wingdings" w:hint="default"/>
      </w:rPr>
    </w:lvl>
    <w:lvl w:ilvl="7" w:tplc="04090003">
      <w:start w:val="1"/>
      <w:numFmt w:val="bullet"/>
      <w:lvlText w:val=""/>
      <w:lvlJc w:val="left"/>
      <w:pPr>
        <w:ind w:left="5200" w:hanging="400"/>
      </w:pPr>
      <w:rPr>
        <w:rFonts w:ascii="Wingdings" w:hAnsi="Wingdings" w:hint="default"/>
      </w:rPr>
    </w:lvl>
    <w:lvl w:ilvl="8" w:tplc="04090005">
      <w:start w:val="1"/>
      <w:numFmt w:val="bullet"/>
      <w:lvlText w:val=""/>
      <w:lvlJc w:val="left"/>
      <w:pPr>
        <w:ind w:left="5600" w:hanging="400"/>
      </w:pPr>
      <w:rPr>
        <w:rFonts w:ascii="Wingdings" w:hAnsi="Wingdings" w:hint="default"/>
      </w:rPr>
    </w:lvl>
  </w:abstractNum>
  <w:abstractNum w:abstractNumId="15"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718AF"/>
    <w:multiLevelType w:val="hybridMultilevel"/>
    <w:tmpl w:val="E2EE5EF2"/>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CB777AB"/>
    <w:multiLevelType w:val="hybridMultilevel"/>
    <w:tmpl w:val="C704944E"/>
    <w:lvl w:ilvl="0" w:tplc="04090001">
      <w:start w:val="1"/>
      <w:numFmt w:val="bullet"/>
      <w:lvlText w:val=""/>
      <w:lvlJc w:val="left"/>
      <w:pPr>
        <w:ind w:left="800" w:hanging="400"/>
      </w:pPr>
      <w:rPr>
        <w:rFonts w:ascii="Wingdings" w:hAnsi="Wingdings" w:hint="default"/>
      </w:rPr>
    </w:lvl>
    <w:lvl w:ilvl="1" w:tplc="E9EE0408">
      <w:numFmt w:val="bullet"/>
      <w:lvlText w:val="-"/>
      <w:lvlJc w:val="left"/>
      <w:pPr>
        <w:ind w:left="1175" w:hanging="375"/>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C512C72E"/>
    <w:lvl w:ilvl="0" w:tplc="0409000F">
      <w:start w:val="1"/>
      <w:numFmt w:val="decimal"/>
      <w:lvlText w:val="%1."/>
      <w:lvlJc w:val="left"/>
      <w:pPr>
        <w:ind w:left="360" w:hanging="360"/>
      </w:pPr>
      <w:rPr>
        <w:rFonts w:hint="default"/>
      </w:rPr>
    </w:lvl>
    <w:lvl w:ilvl="1" w:tplc="04090003">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lvl>
    <w:lvl w:ilvl="3" w:tplc="8DB4D4FC">
      <w:numFmt w:val="bullet"/>
      <w:lvlText w:val="-"/>
      <w:lvlJc w:val="left"/>
      <w:pPr>
        <w:ind w:left="2520" w:hanging="360"/>
      </w:pPr>
      <w:rPr>
        <w:rFonts w:ascii="Times New Roman" w:eastAsia="바탕" w:hAnsi="Times New Roman" w:cs="Times New Roman" w:hint="default"/>
      </w:rPr>
    </w:lvl>
    <w:lvl w:ilvl="4" w:tplc="04090003">
      <w:start w:val="1"/>
      <w:numFmt w:val="bullet"/>
      <w:lvlText w:val=""/>
      <w:lvlJc w:val="left"/>
      <w:pPr>
        <w:ind w:left="3240" w:hanging="360"/>
      </w:pPr>
      <w:rPr>
        <w:rFonts w:ascii="Wingdings" w:hAnsi="Wingding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4C369A"/>
    <w:multiLevelType w:val="hybridMultilevel"/>
    <w:tmpl w:val="03D8E7BC"/>
    <w:lvl w:ilvl="0" w:tplc="BDC48FD8">
      <w:start w:val="10"/>
      <w:numFmt w:val="bullet"/>
      <w:lvlText w:val="-"/>
      <w:lvlJc w:val="left"/>
      <w:pPr>
        <w:ind w:left="400" w:hanging="400"/>
      </w:pPr>
      <w:rPr>
        <w:rFonts w:ascii="Times New Roman" w:eastAsia="SimSu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6DA5884"/>
    <w:multiLevelType w:val="hybridMultilevel"/>
    <w:tmpl w:val="FD20818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B07F4"/>
    <w:multiLevelType w:val="hybridMultilevel"/>
    <w:tmpl w:val="1B90D1B0"/>
    <w:lvl w:ilvl="0" w:tplc="EB163C00">
      <w:start w:val="7"/>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EB66E6"/>
    <w:multiLevelType w:val="hybridMultilevel"/>
    <w:tmpl w:val="6EA65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4523AD"/>
    <w:multiLevelType w:val="hybridMultilevel"/>
    <w:tmpl w:val="0456D458"/>
    <w:lvl w:ilvl="0" w:tplc="E5880F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1EC6E29"/>
    <w:multiLevelType w:val="hybridMultilevel"/>
    <w:tmpl w:val="C676573C"/>
    <w:lvl w:ilvl="0" w:tplc="A5AC4EF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2755B22"/>
    <w:multiLevelType w:val="hybridMultilevel"/>
    <w:tmpl w:val="E2AA0E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456EF4"/>
    <w:multiLevelType w:val="hybridMultilevel"/>
    <w:tmpl w:val="95AC66F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64D8044F"/>
    <w:multiLevelType w:val="hybridMultilevel"/>
    <w:tmpl w:val="45B477DC"/>
    <w:lvl w:ilvl="0" w:tplc="04090005">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B502A59C">
      <w:start w:val="1"/>
      <w:numFmt w:val="bullet"/>
      <w:lvlText w:val=""/>
      <w:lvlJc w:val="left"/>
      <w:pPr>
        <w:ind w:left="1200" w:hanging="400"/>
      </w:pPr>
      <w:rPr>
        <w:rFonts w:ascii="Wingdings" w:hAnsi="Wingdings" w:hint="default"/>
        <w:sz w:val="18"/>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C00F3C"/>
    <w:multiLevelType w:val="hybridMultilevel"/>
    <w:tmpl w:val="460E09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371335"/>
    <w:multiLevelType w:val="hybridMultilevel"/>
    <w:tmpl w:val="DAFE0310"/>
    <w:lvl w:ilvl="0" w:tplc="DB60718C">
      <w:start w:val="1"/>
      <w:numFmt w:val="bullet"/>
      <w:lvlText w:val="•"/>
      <w:lvlJc w:val="left"/>
      <w:pPr>
        <w:ind w:left="810" w:hanging="400"/>
      </w:pPr>
      <w:rPr>
        <w:rFonts w:ascii="Arial" w:hAnsi="Arial" w:hint="default"/>
      </w:rPr>
    </w:lvl>
    <w:lvl w:ilvl="1" w:tplc="04090003" w:tentative="1">
      <w:start w:val="1"/>
      <w:numFmt w:val="bullet"/>
      <w:lvlText w:val=""/>
      <w:lvlJc w:val="left"/>
      <w:pPr>
        <w:ind w:left="1210" w:hanging="400"/>
      </w:pPr>
      <w:rPr>
        <w:rFonts w:ascii="Wingdings" w:hAnsi="Wingdings" w:hint="default"/>
      </w:rPr>
    </w:lvl>
    <w:lvl w:ilvl="2" w:tplc="04090005" w:tentative="1">
      <w:start w:val="1"/>
      <w:numFmt w:val="bullet"/>
      <w:lvlText w:val=""/>
      <w:lvlJc w:val="left"/>
      <w:pPr>
        <w:ind w:left="1610" w:hanging="400"/>
      </w:pPr>
      <w:rPr>
        <w:rFonts w:ascii="Wingdings" w:hAnsi="Wingdings" w:hint="default"/>
      </w:rPr>
    </w:lvl>
    <w:lvl w:ilvl="3" w:tplc="04090001" w:tentative="1">
      <w:start w:val="1"/>
      <w:numFmt w:val="bullet"/>
      <w:lvlText w:val=""/>
      <w:lvlJc w:val="left"/>
      <w:pPr>
        <w:ind w:left="2010" w:hanging="400"/>
      </w:pPr>
      <w:rPr>
        <w:rFonts w:ascii="Wingdings" w:hAnsi="Wingdings" w:hint="default"/>
      </w:rPr>
    </w:lvl>
    <w:lvl w:ilvl="4" w:tplc="04090003" w:tentative="1">
      <w:start w:val="1"/>
      <w:numFmt w:val="bullet"/>
      <w:lvlText w:val=""/>
      <w:lvlJc w:val="left"/>
      <w:pPr>
        <w:ind w:left="2410" w:hanging="400"/>
      </w:pPr>
      <w:rPr>
        <w:rFonts w:ascii="Wingdings" w:hAnsi="Wingdings" w:hint="default"/>
      </w:rPr>
    </w:lvl>
    <w:lvl w:ilvl="5" w:tplc="04090005" w:tentative="1">
      <w:start w:val="1"/>
      <w:numFmt w:val="bullet"/>
      <w:lvlText w:val=""/>
      <w:lvlJc w:val="left"/>
      <w:pPr>
        <w:ind w:left="2810" w:hanging="400"/>
      </w:pPr>
      <w:rPr>
        <w:rFonts w:ascii="Wingdings" w:hAnsi="Wingdings" w:hint="default"/>
      </w:rPr>
    </w:lvl>
    <w:lvl w:ilvl="6" w:tplc="04090001" w:tentative="1">
      <w:start w:val="1"/>
      <w:numFmt w:val="bullet"/>
      <w:lvlText w:val=""/>
      <w:lvlJc w:val="left"/>
      <w:pPr>
        <w:ind w:left="3210" w:hanging="400"/>
      </w:pPr>
      <w:rPr>
        <w:rFonts w:ascii="Wingdings" w:hAnsi="Wingdings" w:hint="default"/>
      </w:rPr>
    </w:lvl>
    <w:lvl w:ilvl="7" w:tplc="04090003" w:tentative="1">
      <w:start w:val="1"/>
      <w:numFmt w:val="bullet"/>
      <w:lvlText w:val=""/>
      <w:lvlJc w:val="left"/>
      <w:pPr>
        <w:ind w:left="3610" w:hanging="400"/>
      </w:pPr>
      <w:rPr>
        <w:rFonts w:ascii="Wingdings" w:hAnsi="Wingdings" w:hint="default"/>
      </w:rPr>
    </w:lvl>
    <w:lvl w:ilvl="8" w:tplc="04090005" w:tentative="1">
      <w:start w:val="1"/>
      <w:numFmt w:val="bullet"/>
      <w:lvlText w:val=""/>
      <w:lvlJc w:val="left"/>
      <w:pPr>
        <w:ind w:left="4010" w:hanging="400"/>
      </w:pPr>
      <w:rPr>
        <w:rFonts w:ascii="Wingdings" w:hAnsi="Wingdings" w:hint="default"/>
      </w:rPr>
    </w:lvl>
  </w:abstractNum>
  <w:abstractNum w:abstractNumId="43"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7A5619"/>
    <w:multiLevelType w:val="hybridMultilevel"/>
    <w:tmpl w:val="72021B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2"/>
  </w:num>
  <w:num w:numId="2">
    <w:abstractNumId w:val="5"/>
  </w:num>
  <w:num w:numId="3">
    <w:abstractNumId w:val="12"/>
  </w:num>
  <w:num w:numId="4">
    <w:abstractNumId w:val="41"/>
  </w:num>
  <w:num w:numId="5">
    <w:abstractNumId w:val="1"/>
  </w:num>
  <w:num w:numId="6">
    <w:abstractNumId w:val="26"/>
  </w:num>
  <w:num w:numId="7">
    <w:abstractNumId w:val="35"/>
  </w:num>
  <w:num w:numId="8">
    <w:abstractNumId w:val="43"/>
  </w:num>
  <w:num w:numId="9">
    <w:abstractNumId w:val="38"/>
  </w:num>
  <w:num w:numId="10">
    <w:abstractNumId w:val="25"/>
  </w:num>
  <w:num w:numId="11">
    <w:abstractNumId w:val="15"/>
  </w:num>
  <w:num w:numId="12">
    <w:abstractNumId w:val="46"/>
  </w:num>
  <w:num w:numId="13">
    <w:abstractNumId w:val="39"/>
  </w:num>
  <w:num w:numId="14">
    <w:abstractNumId w:val="44"/>
  </w:num>
  <w:num w:numId="15">
    <w:abstractNumId w:val="31"/>
  </w:num>
  <w:num w:numId="16">
    <w:abstractNumId w:val="30"/>
  </w:num>
  <w:num w:numId="17">
    <w:abstractNumId w:val="3"/>
  </w:num>
  <w:num w:numId="18">
    <w:abstractNumId w:val="40"/>
  </w:num>
  <w:num w:numId="19">
    <w:abstractNumId w:val="7"/>
  </w:num>
  <w:num w:numId="20">
    <w:abstractNumId w:val="4"/>
  </w:num>
  <w:num w:numId="21">
    <w:abstractNumId w:val="13"/>
  </w:num>
  <w:num w:numId="22">
    <w:abstractNumId w:val="22"/>
  </w:num>
  <w:num w:numId="23">
    <w:abstractNumId w:val="24"/>
  </w:num>
  <w:num w:numId="24">
    <w:abstractNumId w:val="18"/>
  </w:num>
  <w:num w:numId="25">
    <w:abstractNumId w:val="8"/>
  </w:num>
  <w:num w:numId="26">
    <w:abstractNumId w:val="45"/>
  </w:num>
  <w:num w:numId="27">
    <w:abstractNumId w:val="28"/>
  </w:num>
  <w:num w:numId="28">
    <w:abstractNumId w:val="6"/>
  </w:num>
  <w:num w:numId="29">
    <w:abstractNumId w:val="33"/>
  </w:num>
  <w:num w:numId="30">
    <w:abstractNumId w:val="42"/>
  </w:num>
  <w:num w:numId="31">
    <w:abstractNumId w:val="10"/>
  </w:num>
  <w:num w:numId="32">
    <w:abstractNumId w:val="11"/>
  </w:num>
  <w:num w:numId="33">
    <w:abstractNumId w:val="17"/>
  </w:num>
  <w:num w:numId="34">
    <w:abstractNumId w:val="20"/>
  </w:num>
  <w:num w:numId="35">
    <w:abstractNumId w:val="9"/>
  </w:num>
  <w:num w:numId="36">
    <w:abstractNumId w:val="36"/>
  </w:num>
  <w:num w:numId="37">
    <w:abstractNumId w:val="29"/>
  </w:num>
  <w:num w:numId="38">
    <w:abstractNumId w:val="34"/>
  </w:num>
  <w:num w:numId="39">
    <w:abstractNumId w:val="21"/>
  </w:num>
  <w:num w:numId="40">
    <w:abstractNumId w:val="47"/>
  </w:num>
  <w:num w:numId="41">
    <w:abstractNumId w:val="23"/>
  </w:num>
  <w:num w:numId="42">
    <w:abstractNumId w:val="37"/>
  </w:num>
  <w:num w:numId="43">
    <w:abstractNumId w:val="19"/>
  </w:num>
  <w:num w:numId="44">
    <w:abstractNumId w:val="27"/>
  </w:num>
  <w:num w:numId="45">
    <w:abstractNumId w:val="16"/>
    <w:lvlOverride w:ilvl="0"/>
    <w:lvlOverride w:ilvl="1">
      <w:startOverride w:val="1"/>
    </w:lvlOverride>
    <w:lvlOverride w:ilvl="2"/>
    <w:lvlOverride w:ilvl="3"/>
    <w:lvlOverride w:ilvl="4"/>
    <w:lvlOverride w:ilvl="5"/>
    <w:lvlOverride w:ilvl="6"/>
    <w:lvlOverride w:ilvl="7"/>
    <w:lvlOverride w:ilvl="8"/>
  </w:num>
  <w:num w:numId="46">
    <w:abstractNumId w:val="16"/>
  </w:num>
  <w:num w:numId="47">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2DD"/>
    <w:rsid w:val="00006D88"/>
    <w:rsid w:val="000071E3"/>
    <w:rsid w:val="00010D98"/>
    <w:rsid w:val="0001164A"/>
    <w:rsid w:val="00016147"/>
    <w:rsid w:val="0001642B"/>
    <w:rsid w:val="000164DC"/>
    <w:rsid w:val="000200C9"/>
    <w:rsid w:val="00020603"/>
    <w:rsid w:val="000229BB"/>
    <w:rsid w:val="00022BF1"/>
    <w:rsid w:val="000243AB"/>
    <w:rsid w:val="000258D9"/>
    <w:rsid w:val="00025DBE"/>
    <w:rsid w:val="000261E9"/>
    <w:rsid w:val="000271BC"/>
    <w:rsid w:val="0002775A"/>
    <w:rsid w:val="00027A43"/>
    <w:rsid w:val="00027DC9"/>
    <w:rsid w:val="00027DDB"/>
    <w:rsid w:val="00030337"/>
    <w:rsid w:val="000329BC"/>
    <w:rsid w:val="00033E96"/>
    <w:rsid w:val="00034575"/>
    <w:rsid w:val="0003555E"/>
    <w:rsid w:val="00043C61"/>
    <w:rsid w:val="0004530D"/>
    <w:rsid w:val="0004613A"/>
    <w:rsid w:val="0004625A"/>
    <w:rsid w:val="00046A16"/>
    <w:rsid w:val="00047CC6"/>
    <w:rsid w:val="000518BA"/>
    <w:rsid w:val="00052279"/>
    <w:rsid w:val="00052547"/>
    <w:rsid w:val="00053195"/>
    <w:rsid w:val="00054215"/>
    <w:rsid w:val="0005431A"/>
    <w:rsid w:val="00056334"/>
    <w:rsid w:val="00056C1A"/>
    <w:rsid w:val="00056EAA"/>
    <w:rsid w:val="00057F91"/>
    <w:rsid w:val="0006278F"/>
    <w:rsid w:val="000659A0"/>
    <w:rsid w:val="00065AA3"/>
    <w:rsid w:val="00065AE2"/>
    <w:rsid w:val="00071DEB"/>
    <w:rsid w:val="00072EC8"/>
    <w:rsid w:val="00073C38"/>
    <w:rsid w:val="00074046"/>
    <w:rsid w:val="00074A14"/>
    <w:rsid w:val="0007536B"/>
    <w:rsid w:val="00076403"/>
    <w:rsid w:val="000766CB"/>
    <w:rsid w:val="00081291"/>
    <w:rsid w:val="00081A6E"/>
    <w:rsid w:val="00084068"/>
    <w:rsid w:val="00086E7D"/>
    <w:rsid w:val="00092638"/>
    <w:rsid w:val="000931EB"/>
    <w:rsid w:val="000932CB"/>
    <w:rsid w:val="0009393C"/>
    <w:rsid w:val="00094F55"/>
    <w:rsid w:val="00096149"/>
    <w:rsid w:val="000969B2"/>
    <w:rsid w:val="00097747"/>
    <w:rsid w:val="000A0940"/>
    <w:rsid w:val="000A2069"/>
    <w:rsid w:val="000A2182"/>
    <w:rsid w:val="000A5252"/>
    <w:rsid w:val="000A5FF4"/>
    <w:rsid w:val="000B1E05"/>
    <w:rsid w:val="000B2083"/>
    <w:rsid w:val="000B32BA"/>
    <w:rsid w:val="000B3724"/>
    <w:rsid w:val="000B3AF0"/>
    <w:rsid w:val="000B4F0A"/>
    <w:rsid w:val="000B6675"/>
    <w:rsid w:val="000B6850"/>
    <w:rsid w:val="000B697C"/>
    <w:rsid w:val="000C0F83"/>
    <w:rsid w:val="000C39F2"/>
    <w:rsid w:val="000C7429"/>
    <w:rsid w:val="000C7632"/>
    <w:rsid w:val="000D15A4"/>
    <w:rsid w:val="000D1A3C"/>
    <w:rsid w:val="000D48EF"/>
    <w:rsid w:val="000D4A92"/>
    <w:rsid w:val="000D4AD8"/>
    <w:rsid w:val="000E0149"/>
    <w:rsid w:val="000E0502"/>
    <w:rsid w:val="000E11D0"/>
    <w:rsid w:val="000E2B6F"/>
    <w:rsid w:val="000E39AA"/>
    <w:rsid w:val="000E3E60"/>
    <w:rsid w:val="000E4CFC"/>
    <w:rsid w:val="000E6FAA"/>
    <w:rsid w:val="000F0981"/>
    <w:rsid w:val="000F11AD"/>
    <w:rsid w:val="000F15AB"/>
    <w:rsid w:val="000F2653"/>
    <w:rsid w:val="000F2978"/>
    <w:rsid w:val="000F5CA1"/>
    <w:rsid w:val="000F7C44"/>
    <w:rsid w:val="00100117"/>
    <w:rsid w:val="001024DC"/>
    <w:rsid w:val="00102CA2"/>
    <w:rsid w:val="00105707"/>
    <w:rsid w:val="001066A2"/>
    <w:rsid w:val="00107014"/>
    <w:rsid w:val="001079BF"/>
    <w:rsid w:val="00111168"/>
    <w:rsid w:val="00111DBB"/>
    <w:rsid w:val="001120D2"/>
    <w:rsid w:val="00112A67"/>
    <w:rsid w:val="001131DB"/>
    <w:rsid w:val="00113B57"/>
    <w:rsid w:val="001148C1"/>
    <w:rsid w:val="00115E03"/>
    <w:rsid w:val="00116C30"/>
    <w:rsid w:val="00120EBC"/>
    <w:rsid w:val="00121C81"/>
    <w:rsid w:val="00123B36"/>
    <w:rsid w:val="0012464F"/>
    <w:rsid w:val="00125653"/>
    <w:rsid w:val="00132E9C"/>
    <w:rsid w:val="0014336D"/>
    <w:rsid w:val="001464DE"/>
    <w:rsid w:val="00146862"/>
    <w:rsid w:val="00146A25"/>
    <w:rsid w:val="00147585"/>
    <w:rsid w:val="00147C9B"/>
    <w:rsid w:val="00147E09"/>
    <w:rsid w:val="00150615"/>
    <w:rsid w:val="00151090"/>
    <w:rsid w:val="00155F5E"/>
    <w:rsid w:val="00157813"/>
    <w:rsid w:val="00160C4B"/>
    <w:rsid w:val="001639C5"/>
    <w:rsid w:val="00163F3E"/>
    <w:rsid w:val="00163FA1"/>
    <w:rsid w:val="00164371"/>
    <w:rsid w:val="00164B06"/>
    <w:rsid w:val="00165279"/>
    <w:rsid w:val="00166DAB"/>
    <w:rsid w:val="00170281"/>
    <w:rsid w:val="0017108C"/>
    <w:rsid w:val="001724EE"/>
    <w:rsid w:val="001752A3"/>
    <w:rsid w:val="00177C9E"/>
    <w:rsid w:val="0018009D"/>
    <w:rsid w:val="001812BC"/>
    <w:rsid w:val="001815C9"/>
    <w:rsid w:val="00183186"/>
    <w:rsid w:val="001834FC"/>
    <w:rsid w:val="001856EC"/>
    <w:rsid w:val="00186F7D"/>
    <w:rsid w:val="001879EF"/>
    <w:rsid w:val="0019064F"/>
    <w:rsid w:val="001924C4"/>
    <w:rsid w:val="00195F8E"/>
    <w:rsid w:val="00196D9E"/>
    <w:rsid w:val="00196DF8"/>
    <w:rsid w:val="00197D3B"/>
    <w:rsid w:val="001A0B90"/>
    <w:rsid w:val="001A2814"/>
    <w:rsid w:val="001A393C"/>
    <w:rsid w:val="001A3AD4"/>
    <w:rsid w:val="001A48F3"/>
    <w:rsid w:val="001A5FE2"/>
    <w:rsid w:val="001B08D2"/>
    <w:rsid w:val="001B262F"/>
    <w:rsid w:val="001B5CE9"/>
    <w:rsid w:val="001B6AAF"/>
    <w:rsid w:val="001B7532"/>
    <w:rsid w:val="001C0AA4"/>
    <w:rsid w:val="001C1490"/>
    <w:rsid w:val="001C1DF6"/>
    <w:rsid w:val="001C235F"/>
    <w:rsid w:val="001C2CEF"/>
    <w:rsid w:val="001C34C1"/>
    <w:rsid w:val="001C36B6"/>
    <w:rsid w:val="001C4623"/>
    <w:rsid w:val="001C61D9"/>
    <w:rsid w:val="001C67AC"/>
    <w:rsid w:val="001D0B10"/>
    <w:rsid w:val="001D12AF"/>
    <w:rsid w:val="001D181C"/>
    <w:rsid w:val="001D39C3"/>
    <w:rsid w:val="001D6154"/>
    <w:rsid w:val="001E0FC3"/>
    <w:rsid w:val="001E20EE"/>
    <w:rsid w:val="001E2821"/>
    <w:rsid w:val="001E2E19"/>
    <w:rsid w:val="001E3C2F"/>
    <w:rsid w:val="001E3D5C"/>
    <w:rsid w:val="001E3DEE"/>
    <w:rsid w:val="001E6C71"/>
    <w:rsid w:val="001F0682"/>
    <w:rsid w:val="001F24D1"/>
    <w:rsid w:val="001F30C8"/>
    <w:rsid w:val="001F3AAD"/>
    <w:rsid w:val="001F5779"/>
    <w:rsid w:val="001F5956"/>
    <w:rsid w:val="001F699C"/>
    <w:rsid w:val="00200567"/>
    <w:rsid w:val="0020659B"/>
    <w:rsid w:val="00206AB6"/>
    <w:rsid w:val="00206EFE"/>
    <w:rsid w:val="00207277"/>
    <w:rsid w:val="002078BB"/>
    <w:rsid w:val="0021215C"/>
    <w:rsid w:val="00212462"/>
    <w:rsid w:val="00213D7D"/>
    <w:rsid w:val="00214066"/>
    <w:rsid w:val="00216B87"/>
    <w:rsid w:val="002201E4"/>
    <w:rsid w:val="00220D3D"/>
    <w:rsid w:val="00222C96"/>
    <w:rsid w:val="0022485C"/>
    <w:rsid w:val="00224D7E"/>
    <w:rsid w:val="00225181"/>
    <w:rsid w:val="00225BC3"/>
    <w:rsid w:val="0022701B"/>
    <w:rsid w:val="0023015F"/>
    <w:rsid w:val="00231AE1"/>
    <w:rsid w:val="0023318F"/>
    <w:rsid w:val="002335E7"/>
    <w:rsid w:val="0023645D"/>
    <w:rsid w:val="002364A8"/>
    <w:rsid w:val="00236EE0"/>
    <w:rsid w:val="00240002"/>
    <w:rsid w:val="00242ACC"/>
    <w:rsid w:val="0024321B"/>
    <w:rsid w:val="0024354A"/>
    <w:rsid w:val="002443D1"/>
    <w:rsid w:val="00244C63"/>
    <w:rsid w:val="00245FF1"/>
    <w:rsid w:val="00246034"/>
    <w:rsid w:val="0024716F"/>
    <w:rsid w:val="002471B1"/>
    <w:rsid w:val="002477A0"/>
    <w:rsid w:val="00250215"/>
    <w:rsid w:val="00251976"/>
    <w:rsid w:val="0025484D"/>
    <w:rsid w:val="0025629B"/>
    <w:rsid w:val="00256B07"/>
    <w:rsid w:val="0026031A"/>
    <w:rsid w:val="00262053"/>
    <w:rsid w:val="00262558"/>
    <w:rsid w:val="00262937"/>
    <w:rsid w:val="0026395D"/>
    <w:rsid w:val="00264A9B"/>
    <w:rsid w:val="00264E4A"/>
    <w:rsid w:val="00266757"/>
    <w:rsid w:val="00267136"/>
    <w:rsid w:val="0027072F"/>
    <w:rsid w:val="002719C8"/>
    <w:rsid w:val="00272488"/>
    <w:rsid w:val="00273194"/>
    <w:rsid w:val="0027358E"/>
    <w:rsid w:val="00274AB3"/>
    <w:rsid w:val="00274FE2"/>
    <w:rsid w:val="002750D8"/>
    <w:rsid w:val="00275286"/>
    <w:rsid w:val="0027545D"/>
    <w:rsid w:val="00275E86"/>
    <w:rsid w:val="00276309"/>
    <w:rsid w:val="00276472"/>
    <w:rsid w:val="002773C9"/>
    <w:rsid w:val="00281495"/>
    <w:rsid w:val="002822D6"/>
    <w:rsid w:val="0028233E"/>
    <w:rsid w:val="002823E4"/>
    <w:rsid w:val="00282438"/>
    <w:rsid w:val="00282747"/>
    <w:rsid w:val="00284895"/>
    <w:rsid w:val="00284F73"/>
    <w:rsid w:val="00285315"/>
    <w:rsid w:val="00285964"/>
    <w:rsid w:val="00285BCB"/>
    <w:rsid w:val="00286760"/>
    <w:rsid w:val="00287916"/>
    <w:rsid w:val="002910FF"/>
    <w:rsid w:val="00291313"/>
    <w:rsid w:val="002925F6"/>
    <w:rsid w:val="00293BEE"/>
    <w:rsid w:val="00293F3B"/>
    <w:rsid w:val="00295F13"/>
    <w:rsid w:val="0029661F"/>
    <w:rsid w:val="0029799D"/>
    <w:rsid w:val="002A05B3"/>
    <w:rsid w:val="002A0B4E"/>
    <w:rsid w:val="002A1AB2"/>
    <w:rsid w:val="002A1C72"/>
    <w:rsid w:val="002A6D10"/>
    <w:rsid w:val="002A7230"/>
    <w:rsid w:val="002A757A"/>
    <w:rsid w:val="002B02B9"/>
    <w:rsid w:val="002B23B9"/>
    <w:rsid w:val="002B34E7"/>
    <w:rsid w:val="002B4591"/>
    <w:rsid w:val="002B625E"/>
    <w:rsid w:val="002B7846"/>
    <w:rsid w:val="002B7A2E"/>
    <w:rsid w:val="002B7AAD"/>
    <w:rsid w:val="002C0899"/>
    <w:rsid w:val="002C263B"/>
    <w:rsid w:val="002C47D8"/>
    <w:rsid w:val="002C570B"/>
    <w:rsid w:val="002C7155"/>
    <w:rsid w:val="002D0AAE"/>
    <w:rsid w:val="002D173D"/>
    <w:rsid w:val="002D46F0"/>
    <w:rsid w:val="002D4CF4"/>
    <w:rsid w:val="002D5482"/>
    <w:rsid w:val="002D5C78"/>
    <w:rsid w:val="002E0613"/>
    <w:rsid w:val="002E6A28"/>
    <w:rsid w:val="002E750C"/>
    <w:rsid w:val="002F02E4"/>
    <w:rsid w:val="002F73A2"/>
    <w:rsid w:val="00301BA0"/>
    <w:rsid w:val="00302136"/>
    <w:rsid w:val="00303269"/>
    <w:rsid w:val="00306B01"/>
    <w:rsid w:val="00310A5E"/>
    <w:rsid w:val="00310C52"/>
    <w:rsid w:val="003112BB"/>
    <w:rsid w:val="00311704"/>
    <w:rsid w:val="00311C79"/>
    <w:rsid w:val="00312173"/>
    <w:rsid w:val="00312601"/>
    <w:rsid w:val="00312D7E"/>
    <w:rsid w:val="00313093"/>
    <w:rsid w:val="00313623"/>
    <w:rsid w:val="00313AA0"/>
    <w:rsid w:val="00313C19"/>
    <w:rsid w:val="00315278"/>
    <w:rsid w:val="00315917"/>
    <w:rsid w:val="00316666"/>
    <w:rsid w:val="003166DD"/>
    <w:rsid w:val="00317525"/>
    <w:rsid w:val="003175B6"/>
    <w:rsid w:val="00317ACC"/>
    <w:rsid w:val="00320963"/>
    <w:rsid w:val="00320F62"/>
    <w:rsid w:val="00321E9A"/>
    <w:rsid w:val="00322253"/>
    <w:rsid w:val="00324353"/>
    <w:rsid w:val="003258B0"/>
    <w:rsid w:val="00325F04"/>
    <w:rsid w:val="00330104"/>
    <w:rsid w:val="00330935"/>
    <w:rsid w:val="00330AF1"/>
    <w:rsid w:val="003313F6"/>
    <w:rsid w:val="00331B4B"/>
    <w:rsid w:val="003337D5"/>
    <w:rsid w:val="003338C4"/>
    <w:rsid w:val="00333E2A"/>
    <w:rsid w:val="003344CF"/>
    <w:rsid w:val="00334FBD"/>
    <w:rsid w:val="0033781A"/>
    <w:rsid w:val="00341E53"/>
    <w:rsid w:val="00341EC2"/>
    <w:rsid w:val="003446A9"/>
    <w:rsid w:val="0034503E"/>
    <w:rsid w:val="00346857"/>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B4F"/>
    <w:rsid w:val="00370E2C"/>
    <w:rsid w:val="00370EF1"/>
    <w:rsid w:val="003724D7"/>
    <w:rsid w:val="00373472"/>
    <w:rsid w:val="00374282"/>
    <w:rsid w:val="00374F4E"/>
    <w:rsid w:val="00377A42"/>
    <w:rsid w:val="00377E08"/>
    <w:rsid w:val="003802D6"/>
    <w:rsid w:val="00381354"/>
    <w:rsid w:val="00383B74"/>
    <w:rsid w:val="003872EE"/>
    <w:rsid w:val="00390182"/>
    <w:rsid w:val="00390EBF"/>
    <w:rsid w:val="00395616"/>
    <w:rsid w:val="003970D5"/>
    <w:rsid w:val="0039745B"/>
    <w:rsid w:val="00397A82"/>
    <w:rsid w:val="003A04AA"/>
    <w:rsid w:val="003A39D8"/>
    <w:rsid w:val="003A58AA"/>
    <w:rsid w:val="003A677E"/>
    <w:rsid w:val="003A6A8D"/>
    <w:rsid w:val="003A6EF8"/>
    <w:rsid w:val="003A717B"/>
    <w:rsid w:val="003A7B1A"/>
    <w:rsid w:val="003B177A"/>
    <w:rsid w:val="003B42D8"/>
    <w:rsid w:val="003B5862"/>
    <w:rsid w:val="003B5DDC"/>
    <w:rsid w:val="003B629E"/>
    <w:rsid w:val="003B6630"/>
    <w:rsid w:val="003B7A71"/>
    <w:rsid w:val="003B7AB4"/>
    <w:rsid w:val="003C3E53"/>
    <w:rsid w:val="003C3EA4"/>
    <w:rsid w:val="003C5A11"/>
    <w:rsid w:val="003C5B4D"/>
    <w:rsid w:val="003C6540"/>
    <w:rsid w:val="003C7972"/>
    <w:rsid w:val="003D213A"/>
    <w:rsid w:val="003D5834"/>
    <w:rsid w:val="003D7F22"/>
    <w:rsid w:val="003E11CC"/>
    <w:rsid w:val="003E374E"/>
    <w:rsid w:val="003E4D31"/>
    <w:rsid w:val="003E579D"/>
    <w:rsid w:val="003E5DBA"/>
    <w:rsid w:val="003E6513"/>
    <w:rsid w:val="003F07CF"/>
    <w:rsid w:val="003F2188"/>
    <w:rsid w:val="003F2712"/>
    <w:rsid w:val="003F28A8"/>
    <w:rsid w:val="003F35DE"/>
    <w:rsid w:val="003F3F91"/>
    <w:rsid w:val="003F4040"/>
    <w:rsid w:val="003F60E5"/>
    <w:rsid w:val="003F6997"/>
    <w:rsid w:val="003F6BE8"/>
    <w:rsid w:val="00400DAE"/>
    <w:rsid w:val="00401A32"/>
    <w:rsid w:val="00403266"/>
    <w:rsid w:val="00405593"/>
    <w:rsid w:val="004055CE"/>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583D"/>
    <w:rsid w:val="00426B7B"/>
    <w:rsid w:val="00427A2B"/>
    <w:rsid w:val="00427B5E"/>
    <w:rsid w:val="0043288D"/>
    <w:rsid w:val="00433D47"/>
    <w:rsid w:val="00433F01"/>
    <w:rsid w:val="004345D2"/>
    <w:rsid w:val="00435C49"/>
    <w:rsid w:val="004401CB"/>
    <w:rsid w:val="004404A0"/>
    <w:rsid w:val="00440AA6"/>
    <w:rsid w:val="004413AA"/>
    <w:rsid w:val="00442338"/>
    <w:rsid w:val="004423D3"/>
    <w:rsid w:val="004424E2"/>
    <w:rsid w:val="004444F8"/>
    <w:rsid w:val="00444A81"/>
    <w:rsid w:val="00444B19"/>
    <w:rsid w:val="00445982"/>
    <w:rsid w:val="004462DB"/>
    <w:rsid w:val="00446A3A"/>
    <w:rsid w:val="00447827"/>
    <w:rsid w:val="00447A00"/>
    <w:rsid w:val="0045232C"/>
    <w:rsid w:val="00452C2A"/>
    <w:rsid w:val="00452F55"/>
    <w:rsid w:val="004530D2"/>
    <w:rsid w:val="00453A32"/>
    <w:rsid w:val="004545B6"/>
    <w:rsid w:val="00456E9B"/>
    <w:rsid w:val="00457CCE"/>
    <w:rsid w:val="004606B6"/>
    <w:rsid w:val="0046118A"/>
    <w:rsid w:val="00463C50"/>
    <w:rsid w:val="00463CE0"/>
    <w:rsid w:val="004651E0"/>
    <w:rsid w:val="00465BAE"/>
    <w:rsid w:val="0046681F"/>
    <w:rsid w:val="0046769B"/>
    <w:rsid w:val="00467903"/>
    <w:rsid w:val="00470726"/>
    <w:rsid w:val="00471F31"/>
    <w:rsid w:val="00472131"/>
    <w:rsid w:val="00472B0F"/>
    <w:rsid w:val="00475868"/>
    <w:rsid w:val="00476B5B"/>
    <w:rsid w:val="004835DF"/>
    <w:rsid w:val="00483981"/>
    <w:rsid w:val="004847C6"/>
    <w:rsid w:val="00490074"/>
    <w:rsid w:val="0049026F"/>
    <w:rsid w:val="00491010"/>
    <w:rsid w:val="004910EE"/>
    <w:rsid w:val="00491A52"/>
    <w:rsid w:val="00492462"/>
    <w:rsid w:val="004939AF"/>
    <w:rsid w:val="00495B1C"/>
    <w:rsid w:val="00495E3D"/>
    <w:rsid w:val="00495E4C"/>
    <w:rsid w:val="00496D32"/>
    <w:rsid w:val="004A1624"/>
    <w:rsid w:val="004A24AA"/>
    <w:rsid w:val="004A2DA0"/>
    <w:rsid w:val="004A6847"/>
    <w:rsid w:val="004A7634"/>
    <w:rsid w:val="004B0DF4"/>
    <w:rsid w:val="004B28FA"/>
    <w:rsid w:val="004B3D07"/>
    <w:rsid w:val="004B5493"/>
    <w:rsid w:val="004B664F"/>
    <w:rsid w:val="004B6E2F"/>
    <w:rsid w:val="004B72E5"/>
    <w:rsid w:val="004C1562"/>
    <w:rsid w:val="004C19C1"/>
    <w:rsid w:val="004C33A6"/>
    <w:rsid w:val="004C3E80"/>
    <w:rsid w:val="004C4ADD"/>
    <w:rsid w:val="004C4BB9"/>
    <w:rsid w:val="004C54BB"/>
    <w:rsid w:val="004C6294"/>
    <w:rsid w:val="004C6EDF"/>
    <w:rsid w:val="004D08AA"/>
    <w:rsid w:val="004D16F8"/>
    <w:rsid w:val="004D19DB"/>
    <w:rsid w:val="004D2F82"/>
    <w:rsid w:val="004D5417"/>
    <w:rsid w:val="004D5964"/>
    <w:rsid w:val="004D5A9C"/>
    <w:rsid w:val="004E060E"/>
    <w:rsid w:val="004E1C1E"/>
    <w:rsid w:val="004E1EEA"/>
    <w:rsid w:val="004E2850"/>
    <w:rsid w:val="004E2874"/>
    <w:rsid w:val="004E2A7A"/>
    <w:rsid w:val="004E326C"/>
    <w:rsid w:val="004E379E"/>
    <w:rsid w:val="004E4425"/>
    <w:rsid w:val="004E45D9"/>
    <w:rsid w:val="004E4867"/>
    <w:rsid w:val="004E5CDB"/>
    <w:rsid w:val="004E688F"/>
    <w:rsid w:val="004E7BAF"/>
    <w:rsid w:val="004F0113"/>
    <w:rsid w:val="004F0681"/>
    <w:rsid w:val="004F2253"/>
    <w:rsid w:val="004F39E3"/>
    <w:rsid w:val="004F3A39"/>
    <w:rsid w:val="004F6573"/>
    <w:rsid w:val="004F773D"/>
    <w:rsid w:val="004F79E4"/>
    <w:rsid w:val="00500239"/>
    <w:rsid w:val="00505457"/>
    <w:rsid w:val="005064BD"/>
    <w:rsid w:val="00507F33"/>
    <w:rsid w:val="0051044D"/>
    <w:rsid w:val="00510F47"/>
    <w:rsid w:val="0051172B"/>
    <w:rsid w:val="00513141"/>
    <w:rsid w:val="00513153"/>
    <w:rsid w:val="00514B25"/>
    <w:rsid w:val="0051540D"/>
    <w:rsid w:val="0051576F"/>
    <w:rsid w:val="00522ACA"/>
    <w:rsid w:val="00523668"/>
    <w:rsid w:val="00525249"/>
    <w:rsid w:val="00525491"/>
    <w:rsid w:val="005274C2"/>
    <w:rsid w:val="00530FED"/>
    <w:rsid w:val="005311D9"/>
    <w:rsid w:val="005318E8"/>
    <w:rsid w:val="0053376A"/>
    <w:rsid w:val="005356F6"/>
    <w:rsid w:val="00535B3B"/>
    <w:rsid w:val="00535D22"/>
    <w:rsid w:val="00536B3F"/>
    <w:rsid w:val="00536DF9"/>
    <w:rsid w:val="00536F04"/>
    <w:rsid w:val="0054038D"/>
    <w:rsid w:val="0054222A"/>
    <w:rsid w:val="00542578"/>
    <w:rsid w:val="00542BAD"/>
    <w:rsid w:val="00542E43"/>
    <w:rsid w:val="00542EB8"/>
    <w:rsid w:val="00542EDF"/>
    <w:rsid w:val="00543D50"/>
    <w:rsid w:val="00544D8C"/>
    <w:rsid w:val="005453C3"/>
    <w:rsid w:val="00547928"/>
    <w:rsid w:val="00547E6D"/>
    <w:rsid w:val="00551AF7"/>
    <w:rsid w:val="00551DD0"/>
    <w:rsid w:val="00552DF4"/>
    <w:rsid w:val="00552E1F"/>
    <w:rsid w:val="00553584"/>
    <w:rsid w:val="005552D2"/>
    <w:rsid w:val="00556ED1"/>
    <w:rsid w:val="005577A6"/>
    <w:rsid w:val="00561A18"/>
    <w:rsid w:val="00561ED3"/>
    <w:rsid w:val="00563F4A"/>
    <w:rsid w:val="005648D4"/>
    <w:rsid w:val="00564D08"/>
    <w:rsid w:val="00566C0E"/>
    <w:rsid w:val="00566DA5"/>
    <w:rsid w:val="00567222"/>
    <w:rsid w:val="005704E2"/>
    <w:rsid w:val="00574098"/>
    <w:rsid w:val="00575F2F"/>
    <w:rsid w:val="00576789"/>
    <w:rsid w:val="00577488"/>
    <w:rsid w:val="005779B4"/>
    <w:rsid w:val="00577FC2"/>
    <w:rsid w:val="00580818"/>
    <w:rsid w:val="00580BD4"/>
    <w:rsid w:val="00581C1F"/>
    <w:rsid w:val="005828EA"/>
    <w:rsid w:val="005830C8"/>
    <w:rsid w:val="00584DC7"/>
    <w:rsid w:val="00585383"/>
    <w:rsid w:val="00586DC2"/>
    <w:rsid w:val="005872D4"/>
    <w:rsid w:val="00587572"/>
    <w:rsid w:val="00587F46"/>
    <w:rsid w:val="00591849"/>
    <w:rsid w:val="005918A2"/>
    <w:rsid w:val="00591A62"/>
    <w:rsid w:val="00595BDE"/>
    <w:rsid w:val="00596B63"/>
    <w:rsid w:val="005970B9"/>
    <w:rsid w:val="00597193"/>
    <w:rsid w:val="005A1052"/>
    <w:rsid w:val="005A12B0"/>
    <w:rsid w:val="005A3B00"/>
    <w:rsid w:val="005A493A"/>
    <w:rsid w:val="005A5841"/>
    <w:rsid w:val="005A5DD6"/>
    <w:rsid w:val="005A7AF3"/>
    <w:rsid w:val="005B163B"/>
    <w:rsid w:val="005B1840"/>
    <w:rsid w:val="005B2B93"/>
    <w:rsid w:val="005B5321"/>
    <w:rsid w:val="005C0EB0"/>
    <w:rsid w:val="005C1CA9"/>
    <w:rsid w:val="005C6267"/>
    <w:rsid w:val="005D0C1F"/>
    <w:rsid w:val="005D1FB3"/>
    <w:rsid w:val="005D29BA"/>
    <w:rsid w:val="005D31E8"/>
    <w:rsid w:val="005D3F6E"/>
    <w:rsid w:val="005D6270"/>
    <w:rsid w:val="005D701D"/>
    <w:rsid w:val="005E0CF8"/>
    <w:rsid w:val="005E27B5"/>
    <w:rsid w:val="005E5D92"/>
    <w:rsid w:val="005E634F"/>
    <w:rsid w:val="005E640E"/>
    <w:rsid w:val="005E7599"/>
    <w:rsid w:val="005F035B"/>
    <w:rsid w:val="005F0777"/>
    <w:rsid w:val="005F0AD9"/>
    <w:rsid w:val="005F0D5D"/>
    <w:rsid w:val="005F1142"/>
    <w:rsid w:val="005F2073"/>
    <w:rsid w:val="005F2ADE"/>
    <w:rsid w:val="005F3762"/>
    <w:rsid w:val="0060628B"/>
    <w:rsid w:val="006113EA"/>
    <w:rsid w:val="00611C0C"/>
    <w:rsid w:val="0061421D"/>
    <w:rsid w:val="006155C7"/>
    <w:rsid w:val="00615E23"/>
    <w:rsid w:val="00615F33"/>
    <w:rsid w:val="00616937"/>
    <w:rsid w:val="006211D4"/>
    <w:rsid w:val="006226A0"/>
    <w:rsid w:val="006305C9"/>
    <w:rsid w:val="006314FD"/>
    <w:rsid w:val="0063310B"/>
    <w:rsid w:val="0063386C"/>
    <w:rsid w:val="00634C4E"/>
    <w:rsid w:val="00636857"/>
    <w:rsid w:val="00636B55"/>
    <w:rsid w:val="00642673"/>
    <w:rsid w:val="00642BD3"/>
    <w:rsid w:val="00642DB5"/>
    <w:rsid w:val="00643123"/>
    <w:rsid w:val="006444E3"/>
    <w:rsid w:val="00646167"/>
    <w:rsid w:val="00650ABF"/>
    <w:rsid w:val="00651300"/>
    <w:rsid w:val="00652793"/>
    <w:rsid w:val="0065307D"/>
    <w:rsid w:val="006536F3"/>
    <w:rsid w:val="00655E6D"/>
    <w:rsid w:val="00656FD9"/>
    <w:rsid w:val="0066387B"/>
    <w:rsid w:val="006655D7"/>
    <w:rsid w:val="006659A0"/>
    <w:rsid w:val="00667066"/>
    <w:rsid w:val="00667619"/>
    <w:rsid w:val="00670877"/>
    <w:rsid w:val="006709B0"/>
    <w:rsid w:val="0067186B"/>
    <w:rsid w:val="00673FBC"/>
    <w:rsid w:val="006755B0"/>
    <w:rsid w:val="00675FB9"/>
    <w:rsid w:val="0067729B"/>
    <w:rsid w:val="00680F89"/>
    <w:rsid w:val="00682ECA"/>
    <w:rsid w:val="0068397C"/>
    <w:rsid w:val="00684FE8"/>
    <w:rsid w:val="00690C9B"/>
    <w:rsid w:val="00692D00"/>
    <w:rsid w:val="0069321F"/>
    <w:rsid w:val="00694491"/>
    <w:rsid w:val="006958DC"/>
    <w:rsid w:val="00696AF1"/>
    <w:rsid w:val="0069764D"/>
    <w:rsid w:val="006A0FE7"/>
    <w:rsid w:val="006A2CF7"/>
    <w:rsid w:val="006A2D4C"/>
    <w:rsid w:val="006A4F29"/>
    <w:rsid w:val="006A7062"/>
    <w:rsid w:val="006A7931"/>
    <w:rsid w:val="006B133D"/>
    <w:rsid w:val="006B1408"/>
    <w:rsid w:val="006B40AE"/>
    <w:rsid w:val="006B7F1F"/>
    <w:rsid w:val="006C04BF"/>
    <w:rsid w:val="006C051B"/>
    <w:rsid w:val="006C06C3"/>
    <w:rsid w:val="006C0FE7"/>
    <w:rsid w:val="006C17D3"/>
    <w:rsid w:val="006C1AAE"/>
    <w:rsid w:val="006C2DA0"/>
    <w:rsid w:val="006C3000"/>
    <w:rsid w:val="006C4719"/>
    <w:rsid w:val="006C4E92"/>
    <w:rsid w:val="006C607E"/>
    <w:rsid w:val="006C64F4"/>
    <w:rsid w:val="006D0234"/>
    <w:rsid w:val="006D04CE"/>
    <w:rsid w:val="006D0BEE"/>
    <w:rsid w:val="006D0EBC"/>
    <w:rsid w:val="006D1664"/>
    <w:rsid w:val="006D185E"/>
    <w:rsid w:val="006D1A3A"/>
    <w:rsid w:val="006E0B44"/>
    <w:rsid w:val="006E1405"/>
    <w:rsid w:val="006E16EF"/>
    <w:rsid w:val="006E174E"/>
    <w:rsid w:val="006E1F24"/>
    <w:rsid w:val="006E26A2"/>
    <w:rsid w:val="006E3595"/>
    <w:rsid w:val="006E3CD1"/>
    <w:rsid w:val="006E511A"/>
    <w:rsid w:val="006E664A"/>
    <w:rsid w:val="006E6D3A"/>
    <w:rsid w:val="006E71A8"/>
    <w:rsid w:val="006F1873"/>
    <w:rsid w:val="006F26AA"/>
    <w:rsid w:val="006F2BAA"/>
    <w:rsid w:val="006F3B4C"/>
    <w:rsid w:val="006F4D7B"/>
    <w:rsid w:val="0070078E"/>
    <w:rsid w:val="00701CB5"/>
    <w:rsid w:val="00702248"/>
    <w:rsid w:val="00702371"/>
    <w:rsid w:val="0070594E"/>
    <w:rsid w:val="00706C81"/>
    <w:rsid w:val="00706F24"/>
    <w:rsid w:val="0070744F"/>
    <w:rsid w:val="007076CD"/>
    <w:rsid w:val="00710C5C"/>
    <w:rsid w:val="00710D3B"/>
    <w:rsid w:val="00712C33"/>
    <w:rsid w:val="007137E6"/>
    <w:rsid w:val="007140C4"/>
    <w:rsid w:val="00720591"/>
    <w:rsid w:val="00720722"/>
    <w:rsid w:val="00720EE8"/>
    <w:rsid w:val="0072170C"/>
    <w:rsid w:val="00721933"/>
    <w:rsid w:val="00722246"/>
    <w:rsid w:val="00724360"/>
    <w:rsid w:val="0072671B"/>
    <w:rsid w:val="007302DE"/>
    <w:rsid w:val="007335D8"/>
    <w:rsid w:val="007401EC"/>
    <w:rsid w:val="007408D1"/>
    <w:rsid w:val="00740DC9"/>
    <w:rsid w:val="007428F2"/>
    <w:rsid w:val="007464E0"/>
    <w:rsid w:val="00746775"/>
    <w:rsid w:val="00747A4C"/>
    <w:rsid w:val="00751D4C"/>
    <w:rsid w:val="00754912"/>
    <w:rsid w:val="00754E40"/>
    <w:rsid w:val="00757B2E"/>
    <w:rsid w:val="00760F13"/>
    <w:rsid w:val="007619E9"/>
    <w:rsid w:val="007631AD"/>
    <w:rsid w:val="00764F14"/>
    <w:rsid w:val="00765AAC"/>
    <w:rsid w:val="0077114D"/>
    <w:rsid w:val="0077267F"/>
    <w:rsid w:val="00772D54"/>
    <w:rsid w:val="007732C4"/>
    <w:rsid w:val="00773B11"/>
    <w:rsid w:val="00777599"/>
    <w:rsid w:val="00777742"/>
    <w:rsid w:val="007808B6"/>
    <w:rsid w:val="007820C3"/>
    <w:rsid w:val="007826F4"/>
    <w:rsid w:val="00782B32"/>
    <w:rsid w:val="00783E46"/>
    <w:rsid w:val="00784E65"/>
    <w:rsid w:val="007852F1"/>
    <w:rsid w:val="00786126"/>
    <w:rsid w:val="00792A74"/>
    <w:rsid w:val="00793343"/>
    <w:rsid w:val="00795758"/>
    <w:rsid w:val="00795FDE"/>
    <w:rsid w:val="0079634C"/>
    <w:rsid w:val="007973F2"/>
    <w:rsid w:val="00797B96"/>
    <w:rsid w:val="007A5CF7"/>
    <w:rsid w:val="007A6122"/>
    <w:rsid w:val="007A7098"/>
    <w:rsid w:val="007A71C4"/>
    <w:rsid w:val="007A76FE"/>
    <w:rsid w:val="007B2877"/>
    <w:rsid w:val="007B31A5"/>
    <w:rsid w:val="007C0104"/>
    <w:rsid w:val="007C1E05"/>
    <w:rsid w:val="007C4239"/>
    <w:rsid w:val="007C66AF"/>
    <w:rsid w:val="007C7454"/>
    <w:rsid w:val="007C7B50"/>
    <w:rsid w:val="007D0FF2"/>
    <w:rsid w:val="007D507B"/>
    <w:rsid w:val="007D6DA9"/>
    <w:rsid w:val="007D7C6F"/>
    <w:rsid w:val="007E11C0"/>
    <w:rsid w:val="007E44BE"/>
    <w:rsid w:val="007E4D56"/>
    <w:rsid w:val="007E53A4"/>
    <w:rsid w:val="007E6023"/>
    <w:rsid w:val="007E73A4"/>
    <w:rsid w:val="007F0AE8"/>
    <w:rsid w:val="007F0B9B"/>
    <w:rsid w:val="007F24C7"/>
    <w:rsid w:val="007F2FAA"/>
    <w:rsid w:val="007F3A08"/>
    <w:rsid w:val="007F6350"/>
    <w:rsid w:val="007F7ECE"/>
    <w:rsid w:val="0080349C"/>
    <w:rsid w:val="008041E3"/>
    <w:rsid w:val="00805566"/>
    <w:rsid w:val="00805A76"/>
    <w:rsid w:val="0080603D"/>
    <w:rsid w:val="0080610A"/>
    <w:rsid w:val="008070E6"/>
    <w:rsid w:val="00807D82"/>
    <w:rsid w:val="0081163C"/>
    <w:rsid w:val="0081347D"/>
    <w:rsid w:val="00821842"/>
    <w:rsid w:val="00822764"/>
    <w:rsid w:val="008230DF"/>
    <w:rsid w:val="008268AF"/>
    <w:rsid w:val="00827138"/>
    <w:rsid w:val="00827F40"/>
    <w:rsid w:val="00831034"/>
    <w:rsid w:val="00831F69"/>
    <w:rsid w:val="0083431F"/>
    <w:rsid w:val="00834A10"/>
    <w:rsid w:val="0084286C"/>
    <w:rsid w:val="00842B13"/>
    <w:rsid w:val="00843113"/>
    <w:rsid w:val="00847737"/>
    <w:rsid w:val="0084774B"/>
    <w:rsid w:val="00850537"/>
    <w:rsid w:val="00851B50"/>
    <w:rsid w:val="00853C43"/>
    <w:rsid w:val="0085684A"/>
    <w:rsid w:val="008577D8"/>
    <w:rsid w:val="00860868"/>
    <w:rsid w:val="008615F6"/>
    <w:rsid w:val="0086319E"/>
    <w:rsid w:val="008659DB"/>
    <w:rsid w:val="00867688"/>
    <w:rsid w:val="0087035E"/>
    <w:rsid w:val="0087234E"/>
    <w:rsid w:val="008752C9"/>
    <w:rsid w:val="00875B2C"/>
    <w:rsid w:val="00876BF8"/>
    <w:rsid w:val="00877453"/>
    <w:rsid w:val="008809AB"/>
    <w:rsid w:val="00881920"/>
    <w:rsid w:val="0088297A"/>
    <w:rsid w:val="008838DC"/>
    <w:rsid w:val="00883AF7"/>
    <w:rsid w:val="00886C0D"/>
    <w:rsid w:val="00890B64"/>
    <w:rsid w:val="00891C21"/>
    <w:rsid w:val="0089793A"/>
    <w:rsid w:val="00897C58"/>
    <w:rsid w:val="008A065C"/>
    <w:rsid w:val="008A589A"/>
    <w:rsid w:val="008A5959"/>
    <w:rsid w:val="008A65A1"/>
    <w:rsid w:val="008B158A"/>
    <w:rsid w:val="008B33CD"/>
    <w:rsid w:val="008B3C48"/>
    <w:rsid w:val="008B4086"/>
    <w:rsid w:val="008B4491"/>
    <w:rsid w:val="008B5140"/>
    <w:rsid w:val="008B69BD"/>
    <w:rsid w:val="008B7729"/>
    <w:rsid w:val="008C22C5"/>
    <w:rsid w:val="008C2720"/>
    <w:rsid w:val="008D0DD2"/>
    <w:rsid w:val="008D2C60"/>
    <w:rsid w:val="008D39A2"/>
    <w:rsid w:val="008D672F"/>
    <w:rsid w:val="008D6FBE"/>
    <w:rsid w:val="008D761C"/>
    <w:rsid w:val="008E0999"/>
    <w:rsid w:val="008E18E1"/>
    <w:rsid w:val="008E1AA5"/>
    <w:rsid w:val="008E2112"/>
    <w:rsid w:val="008E2A4F"/>
    <w:rsid w:val="008E2E2C"/>
    <w:rsid w:val="008E52F1"/>
    <w:rsid w:val="008E54CF"/>
    <w:rsid w:val="008E5993"/>
    <w:rsid w:val="008E6851"/>
    <w:rsid w:val="008F141B"/>
    <w:rsid w:val="008F1C32"/>
    <w:rsid w:val="008F1DBD"/>
    <w:rsid w:val="008F22D1"/>
    <w:rsid w:val="008F258C"/>
    <w:rsid w:val="008F3CA3"/>
    <w:rsid w:val="008F3EA5"/>
    <w:rsid w:val="008F40E0"/>
    <w:rsid w:val="008F489F"/>
    <w:rsid w:val="008F597F"/>
    <w:rsid w:val="008F6019"/>
    <w:rsid w:val="008F60FF"/>
    <w:rsid w:val="008F6468"/>
    <w:rsid w:val="009019A4"/>
    <w:rsid w:val="00901F50"/>
    <w:rsid w:val="009021D6"/>
    <w:rsid w:val="00907FFA"/>
    <w:rsid w:val="0091053F"/>
    <w:rsid w:val="009107F1"/>
    <w:rsid w:val="00911FFD"/>
    <w:rsid w:val="0091298B"/>
    <w:rsid w:val="00913469"/>
    <w:rsid w:val="009135FB"/>
    <w:rsid w:val="009138E9"/>
    <w:rsid w:val="00917A6D"/>
    <w:rsid w:val="00920C15"/>
    <w:rsid w:val="00921E15"/>
    <w:rsid w:val="009222B8"/>
    <w:rsid w:val="009242DC"/>
    <w:rsid w:val="0092502F"/>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1D37"/>
    <w:rsid w:val="009448A6"/>
    <w:rsid w:val="00944D00"/>
    <w:rsid w:val="00947110"/>
    <w:rsid w:val="00953821"/>
    <w:rsid w:val="009547E6"/>
    <w:rsid w:val="00955113"/>
    <w:rsid w:val="00957CD6"/>
    <w:rsid w:val="009604EC"/>
    <w:rsid w:val="00960834"/>
    <w:rsid w:val="00961000"/>
    <w:rsid w:val="009624C7"/>
    <w:rsid w:val="0096264A"/>
    <w:rsid w:val="00962C57"/>
    <w:rsid w:val="00963194"/>
    <w:rsid w:val="009661E5"/>
    <w:rsid w:val="00966254"/>
    <w:rsid w:val="00966AB2"/>
    <w:rsid w:val="00971FB7"/>
    <w:rsid w:val="00972BF5"/>
    <w:rsid w:val="00975308"/>
    <w:rsid w:val="00976FDD"/>
    <w:rsid w:val="009771B6"/>
    <w:rsid w:val="00983E2A"/>
    <w:rsid w:val="009843E0"/>
    <w:rsid w:val="0098597B"/>
    <w:rsid w:val="00987E44"/>
    <w:rsid w:val="00991ADD"/>
    <w:rsid w:val="00991D74"/>
    <w:rsid w:val="009935F9"/>
    <w:rsid w:val="00993C21"/>
    <w:rsid w:val="00994DC2"/>
    <w:rsid w:val="00996483"/>
    <w:rsid w:val="009A03E4"/>
    <w:rsid w:val="009A1144"/>
    <w:rsid w:val="009A1A40"/>
    <w:rsid w:val="009A1C19"/>
    <w:rsid w:val="009A381B"/>
    <w:rsid w:val="009A4225"/>
    <w:rsid w:val="009A430F"/>
    <w:rsid w:val="009A434F"/>
    <w:rsid w:val="009A62C1"/>
    <w:rsid w:val="009A6B05"/>
    <w:rsid w:val="009B2F06"/>
    <w:rsid w:val="009B5082"/>
    <w:rsid w:val="009B64A7"/>
    <w:rsid w:val="009B7096"/>
    <w:rsid w:val="009C03D8"/>
    <w:rsid w:val="009C3DE4"/>
    <w:rsid w:val="009C54CB"/>
    <w:rsid w:val="009C6166"/>
    <w:rsid w:val="009C642C"/>
    <w:rsid w:val="009C65BC"/>
    <w:rsid w:val="009D158E"/>
    <w:rsid w:val="009D1FB6"/>
    <w:rsid w:val="009D2788"/>
    <w:rsid w:val="009D3849"/>
    <w:rsid w:val="009D422D"/>
    <w:rsid w:val="009D585C"/>
    <w:rsid w:val="009D75AD"/>
    <w:rsid w:val="009E2615"/>
    <w:rsid w:val="009E2D0B"/>
    <w:rsid w:val="009E3B15"/>
    <w:rsid w:val="009E3B3D"/>
    <w:rsid w:val="009E3C6B"/>
    <w:rsid w:val="009E3D36"/>
    <w:rsid w:val="009E4498"/>
    <w:rsid w:val="009E4BC0"/>
    <w:rsid w:val="009E6204"/>
    <w:rsid w:val="009E6350"/>
    <w:rsid w:val="009F0338"/>
    <w:rsid w:val="009F058B"/>
    <w:rsid w:val="009F0A77"/>
    <w:rsid w:val="009F0DC3"/>
    <w:rsid w:val="009F3121"/>
    <w:rsid w:val="009F35C1"/>
    <w:rsid w:val="009F3811"/>
    <w:rsid w:val="009F423F"/>
    <w:rsid w:val="009F4394"/>
    <w:rsid w:val="009F4FC7"/>
    <w:rsid w:val="00A00C08"/>
    <w:rsid w:val="00A01DF1"/>
    <w:rsid w:val="00A01F86"/>
    <w:rsid w:val="00A02E51"/>
    <w:rsid w:val="00A05543"/>
    <w:rsid w:val="00A058DE"/>
    <w:rsid w:val="00A07594"/>
    <w:rsid w:val="00A126E9"/>
    <w:rsid w:val="00A14FFC"/>
    <w:rsid w:val="00A15DB4"/>
    <w:rsid w:val="00A15EF0"/>
    <w:rsid w:val="00A170C8"/>
    <w:rsid w:val="00A201FD"/>
    <w:rsid w:val="00A20465"/>
    <w:rsid w:val="00A20D32"/>
    <w:rsid w:val="00A24584"/>
    <w:rsid w:val="00A30EBE"/>
    <w:rsid w:val="00A31CDA"/>
    <w:rsid w:val="00A33719"/>
    <w:rsid w:val="00A33CCE"/>
    <w:rsid w:val="00A4191D"/>
    <w:rsid w:val="00A42A7F"/>
    <w:rsid w:val="00A432F5"/>
    <w:rsid w:val="00A444B0"/>
    <w:rsid w:val="00A447A4"/>
    <w:rsid w:val="00A44984"/>
    <w:rsid w:val="00A50160"/>
    <w:rsid w:val="00A51C1D"/>
    <w:rsid w:val="00A5345D"/>
    <w:rsid w:val="00A537A2"/>
    <w:rsid w:val="00A559BA"/>
    <w:rsid w:val="00A57B8E"/>
    <w:rsid w:val="00A603E2"/>
    <w:rsid w:val="00A62BB6"/>
    <w:rsid w:val="00A63622"/>
    <w:rsid w:val="00A64B44"/>
    <w:rsid w:val="00A65DA3"/>
    <w:rsid w:val="00A67F2F"/>
    <w:rsid w:val="00A705FF"/>
    <w:rsid w:val="00A70D3B"/>
    <w:rsid w:val="00A73AD4"/>
    <w:rsid w:val="00A744F5"/>
    <w:rsid w:val="00A7647F"/>
    <w:rsid w:val="00A76550"/>
    <w:rsid w:val="00A766B0"/>
    <w:rsid w:val="00A77720"/>
    <w:rsid w:val="00A82F0E"/>
    <w:rsid w:val="00A84265"/>
    <w:rsid w:val="00A847DE"/>
    <w:rsid w:val="00A86C27"/>
    <w:rsid w:val="00A9046E"/>
    <w:rsid w:val="00A91A4E"/>
    <w:rsid w:val="00A91B69"/>
    <w:rsid w:val="00A93006"/>
    <w:rsid w:val="00A94E13"/>
    <w:rsid w:val="00A95CD8"/>
    <w:rsid w:val="00A96526"/>
    <w:rsid w:val="00AA1B47"/>
    <w:rsid w:val="00AA1CFA"/>
    <w:rsid w:val="00AA611E"/>
    <w:rsid w:val="00AA7754"/>
    <w:rsid w:val="00AB1FAB"/>
    <w:rsid w:val="00AB39CF"/>
    <w:rsid w:val="00AB3C22"/>
    <w:rsid w:val="00AB3F8A"/>
    <w:rsid w:val="00AB4326"/>
    <w:rsid w:val="00AB7AEA"/>
    <w:rsid w:val="00AB7E08"/>
    <w:rsid w:val="00AC528B"/>
    <w:rsid w:val="00AD032C"/>
    <w:rsid w:val="00AD21E6"/>
    <w:rsid w:val="00AD242F"/>
    <w:rsid w:val="00AD2DAF"/>
    <w:rsid w:val="00AD46E8"/>
    <w:rsid w:val="00AD6656"/>
    <w:rsid w:val="00AE4668"/>
    <w:rsid w:val="00AE4EB9"/>
    <w:rsid w:val="00AE5543"/>
    <w:rsid w:val="00AE5D46"/>
    <w:rsid w:val="00AE63C8"/>
    <w:rsid w:val="00AE76B0"/>
    <w:rsid w:val="00AE76F3"/>
    <w:rsid w:val="00AF4037"/>
    <w:rsid w:val="00AF5A43"/>
    <w:rsid w:val="00B033C7"/>
    <w:rsid w:val="00B035AE"/>
    <w:rsid w:val="00B04369"/>
    <w:rsid w:val="00B0687F"/>
    <w:rsid w:val="00B1084B"/>
    <w:rsid w:val="00B16F3F"/>
    <w:rsid w:val="00B1791C"/>
    <w:rsid w:val="00B17B3D"/>
    <w:rsid w:val="00B212E5"/>
    <w:rsid w:val="00B23578"/>
    <w:rsid w:val="00B24255"/>
    <w:rsid w:val="00B24305"/>
    <w:rsid w:val="00B256A9"/>
    <w:rsid w:val="00B25A95"/>
    <w:rsid w:val="00B32F8A"/>
    <w:rsid w:val="00B3416C"/>
    <w:rsid w:val="00B406F7"/>
    <w:rsid w:val="00B41A15"/>
    <w:rsid w:val="00B41C3A"/>
    <w:rsid w:val="00B4208D"/>
    <w:rsid w:val="00B42AC8"/>
    <w:rsid w:val="00B4381E"/>
    <w:rsid w:val="00B43B0C"/>
    <w:rsid w:val="00B448D9"/>
    <w:rsid w:val="00B44F2E"/>
    <w:rsid w:val="00B46A9A"/>
    <w:rsid w:val="00B47B85"/>
    <w:rsid w:val="00B512A1"/>
    <w:rsid w:val="00B54EDC"/>
    <w:rsid w:val="00B56254"/>
    <w:rsid w:val="00B609A0"/>
    <w:rsid w:val="00B611B8"/>
    <w:rsid w:val="00B66639"/>
    <w:rsid w:val="00B66FE6"/>
    <w:rsid w:val="00B7114D"/>
    <w:rsid w:val="00B71268"/>
    <w:rsid w:val="00B7203B"/>
    <w:rsid w:val="00B7214A"/>
    <w:rsid w:val="00B72CBD"/>
    <w:rsid w:val="00B72DCE"/>
    <w:rsid w:val="00B73309"/>
    <w:rsid w:val="00B76B0A"/>
    <w:rsid w:val="00B813F2"/>
    <w:rsid w:val="00B83491"/>
    <w:rsid w:val="00B83DEB"/>
    <w:rsid w:val="00B84D2E"/>
    <w:rsid w:val="00B86EB2"/>
    <w:rsid w:val="00B8798F"/>
    <w:rsid w:val="00B9034F"/>
    <w:rsid w:val="00B91588"/>
    <w:rsid w:val="00B9162A"/>
    <w:rsid w:val="00B92038"/>
    <w:rsid w:val="00B921EB"/>
    <w:rsid w:val="00B92B01"/>
    <w:rsid w:val="00B937C1"/>
    <w:rsid w:val="00B95862"/>
    <w:rsid w:val="00B97DA2"/>
    <w:rsid w:val="00BA02BD"/>
    <w:rsid w:val="00BA0CFE"/>
    <w:rsid w:val="00BA1B53"/>
    <w:rsid w:val="00BA1B98"/>
    <w:rsid w:val="00BA3D33"/>
    <w:rsid w:val="00BA6B8D"/>
    <w:rsid w:val="00BB0327"/>
    <w:rsid w:val="00BB3563"/>
    <w:rsid w:val="00BB42A2"/>
    <w:rsid w:val="00BB4680"/>
    <w:rsid w:val="00BB5093"/>
    <w:rsid w:val="00BB7540"/>
    <w:rsid w:val="00BC01A2"/>
    <w:rsid w:val="00BC023A"/>
    <w:rsid w:val="00BC037D"/>
    <w:rsid w:val="00BC25DF"/>
    <w:rsid w:val="00BC29D7"/>
    <w:rsid w:val="00BC4F2C"/>
    <w:rsid w:val="00BC5A12"/>
    <w:rsid w:val="00BC5AD7"/>
    <w:rsid w:val="00BC61A9"/>
    <w:rsid w:val="00BC62B5"/>
    <w:rsid w:val="00BC7497"/>
    <w:rsid w:val="00BC749F"/>
    <w:rsid w:val="00BC7E37"/>
    <w:rsid w:val="00BD1ABC"/>
    <w:rsid w:val="00BD2456"/>
    <w:rsid w:val="00BD2740"/>
    <w:rsid w:val="00BD46ED"/>
    <w:rsid w:val="00BD516B"/>
    <w:rsid w:val="00BD6289"/>
    <w:rsid w:val="00BD765B"/>
    <w:rsid w:val="00BE1588"/>
    <w:rsid w:val="00BE1CDF"/>
    <w:rsid w:val="00BE1D44"/>
    <w:rsid w:val="00BE5254"/>
    <w:rsid w:val="00BE615F"/>
    <w:rsid w:val="00BE6F28"/>
    <w:rsid w:val="00BE7A0F"/>
    <w:rsid w:val="00BE7E6A"/>
    <w:rsid w:val="00BF1F2A"/>
    <w:rsid w:val="00BF2CD3"/>
    <w:rsid w:val="00BF3769"/>
    <w:rsid w:val="00BF3CEF"/>
    <w:rsid w:val="00BF3E00"/>
    <w:rsid w:val="00BF4166"/>
    <w:rsid w:val="00BF6366"/>
    <w:rsid w:val="00C00EE2"/>
    <w:rsid w:val="00C02E5C"/>
    <w:rsid w:val="00C03D1D"/>
    <w:rsid w:val="00C05355"/>
    <w:rsid w:val="00C05D5F"/>
    <w:rsid w:val="00C05DE7"/>
    <w:rsid w:val="00C0765D"/>
    <w:rsid w:val="00C10151"/>
    <w:rsid w:val="00C10FB1"/>
    <w:rsid w:val="00C11D5C"/>
    <w:rsid w:val="00C13046"/>
    <w:rsid w:val="00C131BC"/>
    <w:rsid w:val="00C137BB"/>
    <w:rsid w:val="00C138C8"/>
    <w:rsid w:val="00C139C3"/>
    <w:rsid w:val="00C23385"/>
    <w:rsid w:val="00C2569A"/>
    <w:rsid w:val="00C256A8"/>
    <w:rsid w:val="00C25854"/>
    <w:rsid w:val="00C26B98"/>
    <w:rsid w:val="00C272BD"/>
    <w:rsid w:val="00C3110A"/>
    <w:rsid w:val="00C31A51"/>
    <w:rsid w:val="00C34D07"/>
    <w:rsid w:val="00C4002A"/>
    <w:rsid w:val="00C4097D"/>
    <w:rsid w:val="00C42289"/>
    <w:rsid w:val="00C4248F"/>
    <w:rsid w:val="00C439D9"/>
    <w:rsid w:val="00C43A8E"/>
    <w:rsid w:val="00C44856"/>
    <w:rsid w:val="00C45089"/>
    <w:rsid w:val="00C4525C"/>
    <w:rsid w:val="00C45DAC"/>
    <w:rsid w:val="00C46768"/>
    <w:rsid w:val="00C50217"/>
    <w:rsid w:val="00C50BF6"/>
    <w:rsid w:val="00C51D8C"/>
    <w:rsid w:val="00C5224A"/>
    <w:rsid w:val="00C5472B"/>
    <w:rsid w:val="00C54D3F"/>
    <w:rsid w:val="00C5710B"/>
    <w:rsid w:val="00C62071"/>
    <w:rsid w:val="00C63B6E"/>
    <w:rsid w:val="00C6413F"/>
    <w:rsid w:val="00C6454F"/>
    <w:rsid w:val="00C65F3B"/>
    <w:rsid w:val="00C666FB"/>
    <w:rsid w:val="00C66889"/>
    <w:rsid w:val="00C7061A"/>
    <w:rsid w:val="00C72A8A"/>
    <w:rsid w:val="00C72AC4"/>
    <w:rsid w:val="00C75CB0"/>
    <w:rsid w:val="00C76734"/>
    <w:rsid w:val="00C76A6F"/>
    <w:rsid w:val="00C80A4B"/>
    <w:rsid w:val="00C8125A"/>
    <w:rsid w:val="00C8148A"/>
    <w:rsid w:val="00C8270D"/>
    <w:rsid w:val="00C82853"/>
    <w:rsid w:val="00C8509E"/>
    <w:rsid w:val="00C858DF"/>
    <w:rsid w:val="00C86079"/>
    <w:rsid w:val="00C908C6"/>
    <w:rsid w:val="00C914FF"/>
    <w:rsid w:val="00C916E3"/>
    <w:rsid w:val="00C917FD"/>
    <w:rsid w:val="00C91CF1"/>
    <w:rsid w:val="00C92A0C"/>
    <w:rsid w:val="00C93DB3"/>
    <w:rsid w:val="00C957C1"/>
    <w:rsid w:val="00C9665D"/>
    <w:rsid w:val="00C9704C"/>
    <w:rsid w:val="00C97D69"/>
    <w:rsid w:val="00CA01B0"/>
    <w:rsid w:val="00CA05A2"/>
    <w:rsid w:val="00CA25C9"/>
    <w:rsid w:val="00CA3CEE"/>
    <w:rsid w:val="00CA48CE"/>
    <w:rsid w:val="00CA4B44"/>
    <w:rsid w:val="00CA52B8"/>
    <w:rsid w:val="00CA5B80"/>
    <w:rsid w:val="00CA6AE6"/>
    <w:rsid w:val="00CB1D5B"/>
    <w:rsid w:val="00CB339B"/>
    <w:rsid w:val="00CB391E"/>
    <w:rsid w:val="00CB44E2"/>
    <w:rsid w:val="00CB4FC1"/>
    <w:rsid w:val="00CB594A"/>
    <w:rsid w:val="00CB65F6"/>
    <w:rsid w:val="00CC0054"/>
    <w:rsid w:val="00CC0EDD"/>
    <w:rsid w:val="00CC1177"/>
    <w:rsid w:val="00CC18BD"/>
    <w:rsid w:val="00CC2E76"/>
    <w:rsid w:val="00CC344D"/>
    <w:rsid w:val="00CC564C"/>
    <w:rsid w:val="00CC6FFA"/>
    <w:rsid w:val="00CC76B7"/>
    <w:rsid w:val="00CC76F9"/>
    <w:rsid w:val="00CD0AC0"/>
    <w:rsid w:val="00CD13EA"/>
    <w:rsid w:val="00CD1CB0"/>
    <w:rsid w:val="00CD31C9"/>
    <w:rsid w:val="00CD3718"/>
    <w:rsid w:val="00CD3B2D"/>
    <w:rsid w:val="00CD4D09"/>
    <w:rsid w:val="00CE03E0"/>
    <w:rsid w:val="00CE2A63"/>
    <w:rsid w:val="00CE352F"/>
    <w:rsid w:val="00CE60D3"/>
    <w:rsid w:val="00CE6A09"/>
    <w:rsid w:val="00CE6E67"/>
    <w:rsid w:val="00CE74EF"/>
    <w:rsid w:val="00CF362B"/>
    <w:rsid w:val="00CF56C0"/>
    <w:rsid w:val="00CF5F2A"/>
    <w:rsid w:val="00D03223"/>
    <w:rsid w:val="00D0341A"/>
    <w:rsid w:val="00D03DF5"/>
    <w:rsid w:val="00D05BB0"/>
    <w:rsid w:val="00D103A4"/>
    <w:rsid w:val="00D11D86"/>
    <w:rsid w:val="00D1446F"/>
    <w:rsid w:val="00D14A8B"/>
    <w:rsid w:val="00D15156"/>
    <w:rsid w:val="00D17B24"/>
    <w:rsid w:val="00D212AC"/>
    <w:rsid w:val="00D22F90"/>
    <w:rsid w:val="00D23C9E"/>
    <w:rsid w:val="00D24964"/>
    <w:rsid w:val="00D24EC3"/>
    <w:rsid w:val="00D254B2"/>
    <w:rsid w:val="00D25726"/>
    <w:rsid w:val="00D25AC1"/>
    <w:rsid w:val="00D2614F"/>
    <w:rsid w:val="00D26831"/>
    <w:rsid w:val="00D26DBC"/>
    <w:rsid w:val="00D274DB"/>
    <w:rsid w:val="00D27ABD"/>
    <w:rsid w:val="00D27EC6"/>
    <w:rsid w:val="00D302A6"/>
    <w:rsid w:val="00D30654"/>
    <w:rsid w:val="00D333F0"/>
    <w:rsid w:val="00D33E04"/>
    <w:rsid w:val="00D347EC"/>
    <w:rsid w:val="00D35D26"/>
    <w:rsid w:val="00D360FB"/>
    <w:rsid w:val="00D36C16"/>
    <w:rsid w:val="00D40848"/>
    <w:rsid w:val="00D4100C"/>
    <w:rsid w:val="00D410C2"/>
    <w:rsid w:val="00D41487"/>
    <w:rsid w:val="00D4430C"/>
    <w:rsid w:val="00D44704"/>
    <w:rsid w:val="00D455DC"/>
    <w:rsid w:val="00D46F8E"/>
    <w:rsid w:val="00D470AE"/>
    <w:rsid w:val="00D50115"/>
    <w:rsid w:val="00D50813"/>
    <w:rsid w:val="00D50C8E"/>
    <w:rsid w:val="00D51EC7"/>
    <w:rsid w:val="00D533E0"/>
    <w:rsid w:val="00D5592A"/>
    <w:rsid w:val="00D56F0B"/>
    <w:rsid w:val="00D60AE4"/>
    <w:rsid w:val="00D63328"/>
    <w:rsid w:val="00D636E6"/>
    <w:rsid w:val="00D63A59"/>
    <w:rsid w:val="00D648AF"/>
    <w:rsid w:val="00D6793A"/>
    <w:rsid w:val="00D716C7"/>
    <w:rsid w:val="00D71927"/>
    <w:rsid w:val="00D72404"/>
    <w:rsid w:val="00D72B49"/>
    <w:rsid w:val="00D74815"/>
    <w:rsid w:val="00D7482C"/>
    <w:rsid w:val="00D76C4E"/>
    <w:rsid w:val="00D770ED"/>
    <w:rsid w:val="00D80124"/>
    <w:rsid w:val="00D80320"/>
    <w:rsid w:val="00D81762"/>
    <w:rsid w:val="00D82DD5"/>
    <w:rsid w:val="00D84CFC"/>
    <w:rsid w:val="00D86A49"/>
    <w:rsid w:val="00D90BBE"/>
    <w:rsid w:val="00D919F5"/>
    <w:rsid w:val="00D91DF6"/>
    <w:rsid w:val="00D929FF"/>
    <w:rsid w:val="00D95216"/>
    <w:rsid w:val="00DA153C"/>
    <w:rsid w:val="00DA2F96"/>
    <w:rsid w:val="00DA5A4A"/>
    <w:rsid w:val="00DA5D3C"/>
    <w:rsid w:val="00DA68A2"/>
    <w:rsid w:val="00DA74C5"/>
    <w:rsid w:val="00DB1F45"/>
    <w:rsid w:val="00DB1F59"/>
    <w:rsid w:val="00DB2342"/>
    <w:rsid w:val="00DB25DE"/>
    <w:rsid w:val="00DB3A43"/>
    <w:rsid w:val="00DB3B40"/>
    <w:rsid w:val="00DC237A"/>
    <w:rsid w:val="00DC38BA"/>
    <w:rsid w:val="00DC42D6"/>
    <w:rsid w:val="00DD2752"/>
    <w:rsid w:val="00DD4D3B"/>
    <w:rsid w:val="00DD5470"/>
    <w:rsid w:val="00DD6E27"/>
    <w:rsid w:val="00DD6E4F"/>
    <w:rsid w:val="00DD74CD"/>
    <w:rsid w:val="00DE1251"/>
    <w:rsid w:val="00DE1E85"/>
    <w:rsid w:val="00DE63A0"/>
    <w:rsid w:val="00DE669C"/>
    <w:rsid w:val="00DE799A"/>
    <w:rsid w:val="00DF0362"/>
    <w:rsid w:val="00DF217B"/>
    <w:rsid w:val="00DF26D6"/>
    <w:rsid w:val="00DF26F1"/>
    <w:rsid w:val="00DF76A1"/>
    <w:rsid w:val="00E00D08"/>
    <w:rsid w:val="00E01B65"/>
    <w:rsid w:val="00E01C3C"/>
    <w:rsid w:val="00E055BD"/>
    <w:rsid w:val="00E05DD8"/>
    <w:rsid w:val="00E06C1A"/>
    <w:rsid w:val="00E072C5"/>
    <w:rsid w:val="00E1033D"/>
    <w:rsid w:val="00E10E4D"/>
    <w:rsid w:val="00E10F46"/>
    <w:rsid w:val="00E12322"/>
    <w:rsid w:val="00E12ABC"/>
    <w:rsid w:val="00E13D83"/>
    <w:rsid w:val="00E1629E"/>
    <w:rsid w:val="00E1682A"/>
    <w:rsid w:val="00E22F03"/>
    <w:rsid w:val="00E23B35"/>
    <w:rsid w:val="00E276B6"/>
    <w:rsid w:val="00E308D7"/>
    <w:rsid w:val="00E35894"/>
    <w:rsid w:val="00E35B1B"/>
    <w:rsid w:val="00E35B45"/>
    <w:rsid w:val="00E36195"/>
    <w:rsid w:val="00E37291"/>
    <w:rsid w:val="00E40CC2"/>
    <w:rsid w:val="00E4167F"/>
    <w:rsid w:val="00E41BE1"/>
    <w:rsid w:val="00E41C8A"/>
    <w:rsid w:val="00E423EF"/>
    <w:rsid w:val="00E43A4B"/>
    <w:rsid w:val="00E44D78"/>
    <w:rsid w:val="00E4676F"/>
    <w:rsid w:val="00E52F04"/>
    <w:rsid w:val="00E55489"/>
    <w:rsid w:val="00E559F4"/>
    <w:rsid w:val="00E622F0"/>
    <w:rsid w:val="00E62682"/>
    <w:rsid w:val="00E63CD7"/>
    <w:rsid w:val="00E65C2E"/>
    <w:rsid w:val="00E71E47"/>
    <w:rsid w:val="00E724EA"/>
    <w:rsid w:val="00E74D3F"/>
    <w:rsid w:val="00E75AA0"/>
    <w:rsid w:val="00E75C72"/>
    <w:rsid w:val="00E75EA8"/>
    <w:rsid w:val="00E7614E"/>
    <w:rsid w:val="00E82F40"/>
    <w:rsid w:val="00E83853"/>
    <w:rsid w:val="00E84BA3"/>
    <w:rsid w:val="00E84EF9"/>
    <w:rsid w:val="00E85291"/>
    <w:rsid w:val="00E85767"/>
    <w:rsid w:val="00E86A07"/>
    <w:rsid w:val="00E87849"/>
    <w:rsid w:val="00E93536"/>
    <w:rsid w:val="00E93766"/>
    <w:rsid w:val="00E9454E"/>
    <w:rsid w:val="00E94F86"/>
    <w:rsid w:val="00E95682"/>
    <w:rsid w:val="00E9716D"/>
    <w:rsid w:val="00E97C52"/>
    <w:rsid w:val="00E97F27"/>
    <w:rsid w:val="00EA0041"/>
    <w:rsid w:val="00EA0F81"/>
    <w:rsid w:val="00EA1A5F"/>
    <w:rsid w:val="00EA2599"/>
    <w:rsid w:val="00EA32DC"/>
    <w:rsid w:val="00EA47CB"/>
    <w:rsid w:val="00EA4D18"/>
    <w:rsid w:val="00EA7384"/>
    <w:rsid w:val="00EB184D"/>
    <w:rsid w:val="00EB2898"/>
    <w:rsid w:val="00EB424E"/>
    <w:rsid w:val="00EB4625"/>
    <w:rsid w:val="00EB4B05"/>
    <w:rsid w:val="00EB4D34"/>
    <w:rsid w:val="00EB4D57"/>
    <w:rsid w:val="00EB531C"/>
    <w:rsid w:val="00EB5F8E"/>
    <w:rsid w:val="00EB6351"/>
    <w:rsid w:val="00EB6D02"/>
    <w:rsid w:val="00EC4313"/>
    <w:rsid w:val="00EC5A9D"/>
    <w:rsid w:val="00EC5ED7"/>
    <w:rsid w:val="00EC7AC8"/>
    <w:rsid w:val="00ED4AEE"/>
    <w:rsid w:val="00ED7256"/>
    <w:rsid w:val="00ED73E9"/>
    <w:rsid w:val="00EE0150"/>
    <w:rsid w:val="00EE0524"/>
    <w:rsid w:val="00EE28A7"/>
    <w:rsid w:val="00EE534C"/>
    <w:rsid w:val="00EE5CBF"/>
    <w:rsid w:val="00EE61B7"/>
    <w:rsid w:val="00EE6688"/>
    <w:rsid w:val="00EE6737"/>
    <w:rsid w:val="00EE7872"/>
    <w:rsid w:val="00EE7A75"/>
    <w:rsid w:val="00EF05F0"/>
    <w:rsid w:val="00EF1AA1"/>
    <w:rsid w:val="00EF1AAA"/>
    <w:rsid w:val="00EF552E"/>
    <w:rsid w:val="00EF624D"/>
    <w:rsid w:val="00EF6C37"/>
    <w:rsid w:val="00EF6C96"/>
    <w:rsid w:val="00F01BB7"/>
    <w:rsid w:val="00F024DD"/>
    <w:rsid w:val="00F05871"/>
    <w:rsid w:val="00F05FBB"/>
    <w:rsid w:val="00F060B4"/>
    <w:rsid w:val="00F12131"/>
    <w:rsid w:val="00F13306"/>
    <w:rsid w:val="00F22DBC"/>
    <w:rsid w:val="00F310D2"/>
    <w:rsid w:val="00F31215"/>
    <w:rsid w:val="00F31651"/>
    <w:rsid w:val="00F31BE9"/>
    <w:rsid w:val="00F33097"/>
    <w:rsid w:val="00F35F0D"/>
    <w:rsid w:val="00F36B0B"/>
    <w:rsid w:val="00F40844"/>
    <w:rsid w:val="00F431E2"/>
    <w:rsid w:val="00F4360A"/>
    <w:rsid w:val="00F43A7C"/>
    <w:rsid w:val="00F45D52"/>
    <w:rsid w:val="00F46B75"/>
    <w:rsid w:val="00F47565"/>
    <w:rsid w:val="00F51872"/>
    <w:rsid w:val="00F51E84"/>
    <w:rsid w:val="00F52A42"/>
    <w:rsid w:val="00F5304C"/>
    <w:rsid w:val="00F60929"/>
    <w:rsid w:val="00F62D75"/>
    <w:rsid w:val="00F6325C"/>
    <w:rsid w:val="00F64DAA"/>
    <w:rsid w:val="00F6559F"/>
    <w:rsid w:val="00F66937"/>
    <w:rsid w:val="00F671F5"/>
    <w:rsid w:val="00F67C91"/>
    <w:rsid w:val="00F706AC"/>
    <w:rsid w:val="00F722A6"/>
    <w:rsid w:val="00F75013"/>
    <w:rsid w:val="00F75F02"/>
    <w:rsid w:val="00F76143"/>
    <w:rsid w:val="00F77BA1"/>
    <w:rsid w:val="00F83B26"/>
    <w:rsid w:val="00F84587"/>
    <w:rsid w:val="00F87FCA"/>
    <w:rsid w:val="00F90972"/>
    <w:rsid w:val="00F91B54"/>
    <w:rsid w:val="00F92DD2"/>
    <w:rsid w:val="00F92FC6"/>
    <w:rsid w:val="00F942FB"/>
    <w:rsid w:val="00F95320"/>
    <w:rsid w:val="00F95345"/>
    <w:rsid w:val="00F95ACD"/>
    <w:rsid w:val="00F95EA8"/>
    <w:rsid w:val="00F9615F"/>
    <w:rsid w:val="00FA06FC"/>
    <w:rsid w:val="00FA0C4B"/>
    <w:rsid w:val="00FA1A04"/>
    <w:rsid w:val="00FA285E"/>
    <w:rsid w:val="00FA51B0"/>
    <w:rsid w:val="00FA5725"/>
    <w:rsid w:val="00FA6C17"/>
    <w:rsid w:val="00FA7370"/>
    <w:rsid w:val="00FB24CF"/>
    <w:rsid w:val="00FB3C76"/>
    <w:rsid w:val="00FB3E54"/>
    <w:rsid w:val="00FB3E79"/>
    <w:rsid w:val="00FB4DDA"/>
    <w:rsid w:val="00FC0591"/>
    <w:rsid w:val="00FC10FF"/>
    <w:rsid w:val="00FC2E97"/>
    <w:rsid w:val="00FC7478"/>
    <w:rsid w:val="00FD0FF8"/>
    <w:rsid w:val="00FD4C1B"/>
    <w:rsid w:val="00FD4FBA"/>
    <w:rsid w:val="00FD5FEF"/>
    <w:rsid w:val="00FD6397"/>
    <w:rsid w:val="00FD73D6"/>
    <w:rsid w:val="00FD77F1"/>
    <w:rsid w:val="00FE010F"/>
    <w:rsid w:val="00FE0128"/>
    <w:rsid w:val="00FE0E6F"/>
    <w:rsid w:val="00FE16F8"/>
    <w:rsid w:val="00FE18A0"/>
    <w:rsid w:val="00FE2041"/>
    <w:rsid w:val="00FE257E"/>
    <w:rsid w:val="00FE2826"/>
    <w:rsid w:val="00FE3DE0"/>
    <w:rsid w:val="00FE48F5"/>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unhideWhenUsed/>
    <w:rsid w:val="00146862"/>
    <w:pPr>
      <w:jc w:val="left"/>
    </w:pPr>
  </w:style>
  <w:style w:type="character" w:customStyle="1" w:styleId="Char4">
    <w:name w:val="메모 텍스트 Char"/>
    <w:basedOn w:val="a0"/>
    <w:link w:val="ad"/>
    <w:uiPriority w:val="99"/>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widowControl/>
      <w:wordWrap/>
      <w:autoSpaceDE/>
      <w:autoSpaceDN/>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widowControl/>
      <w:wordWrap/>
      <w:autoSpaceDE/>
      <w:autoSpaceDN/>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paragraph" w:customStyle="1" w:styleId="B3">
    <w:name w:val="B3"/>
    <w:basedOn w:val="a"/>
    <w:link w:val="B3Char"/>
    <w:qFormat/>
    <w:rsid w:val="0080603D"/>
    <w:pPr>
      <w:widowControl/>
      <w:wordWrap/>
      <w:autoSpaceDE/>
      <w:autoSpaceDN/>
      <w:spacing w:after="180" w:line="240" w:lineRule="auto"/>
      <w:ind w:left="1135" w:hanging="284"/>
      <w:jc w:val="left"/>
    </w:pPr>
    <w:rPr>
      <w:rFonts w:ascii="Times New Roman" w:hAnsi="Times New Roman" w:cs="Times New Roman"/>
      <w:kern w:val="0"/>
      <w:szCs w:val="20"/>
      <w:lang w:val="en-GB" w:eastAsia="en-US"/>
    </w:rPr>
  </w:style>
  <w:style w:type="character" w:customStyle="1" w:styleId="B3Char">
    <w:name w:val="B3 Char"/>
    <w:link w:val="B3"/>
    <w:rsid w:val="0080603D"/>
    <w:rPr>
      <w:rFonts w:ascii="Times New Roman" w:hAnsi="Times New Roman" w:cs="Times New Roman"/>
      <w:kern w:val="0"/>
      <w:szCs w:val="20"/>
      <w:lang w:val="en-GB" w:eastAsia="en-US"/>
    </w:rPr>
  </w:style>
  <w:style w:type="paragraph" w:customStyle="1" w:styleId="00Text">
    <w:name w:val="00_Text"/>
    <w:basedOn w:val="a"/>
    <w:link w:val="00TextChar"/>
    <w:qFormat/>
    <w:rsid w:val="0080603D"/>
    <w:pPr>
      <w:widowControl/>
      <w:wordWrap/>
      <w:autoSpaceDE/>
      <w:autoSpaceDN/>
      <w:spacing w:after="100" w:afterAutospacing="1" w:line="264" w:lineRule="auto"/>
    </w:pPr>
    <w:rPr>
      <w:rFonts w:ascii="Times New Roman" w:eastAsia="SimSun" w:hAnsi="Times New Roman" w:cs="Times New Roman"/>
      <w:kern w:val="0"/>
      <w:szCs w:val="24"/>
      <w:lang w:eastAsia="zh-CN"/>
    </w:rPr>
  </w:style>
  <w:style w:type="character" w:customStyle="1" w:styleId="00TextChar">
    <w:name w:val="00_Text Char"/>
    <w:basedOn w:val="a0"/>
    <w:link w:val="00Text"/>
    <w:qFormat/>
    <w:rsid w:val="0080603D"/>
    <w:rPr>
      <w:rFonts w:ascii="Times New Roman" w:eastAsia="SimSun" w:hAnsi="Times New Roman" w:cs="Times New Roman"/>
      <w:kern w:val="0"/>
      <w:szCs w:val="24"/>
      <w:lang w:eastAsia="zh-CN"/>
    </w:rPr>
  </w:style>
  <w:style w:type="character" w:customStyle="1" w:styleId="B1Char">
    <w:name w:val="B1 Char"/>
    <w:rsid w:val="00BA0CFE"/>
    <w:rPr>
      <w:rFonts w:ascii="Times New Roman" w:eastAsia="MS Gothic" w:hAnsi="Times New Roman"/>
      <w:sz w:val="24"/>
      <w:lang w:val="en-GB"/>
    </w:rPr>
  </w:style>
  <w:style w:type="paragraph" w:customStyle="1" w:styleId="LGTdoc">
    <w:name w:val="LGTdoc_본문"/>
    <w:basedOn w:val="a"/>
    <w:link w:val="LGTdocChar"/>
    <w:qFormat/>
    <w:rsid w:val="00BA0CFE"/>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customStyle="1" w:styleId="LGTdocChar">
    <w:name w:val="LGTdoc_본문 Char"/>
    <w:link w:val="LGTdoc"/>
    <w:qFormat/>
    <w:rsid w:val="00BA0CFE"/>
    <w:rPr>
      <w:rFonts w:ascii="Times New Roman" w:eastAsia="바탕" w:hAnsi="Times New Roman" w:cs="Times New Roman"/>
      <w:sz w:val="22"/>
      <w:szCs w:val="24"/>
      <w:lang w:val="en-GB"/>
    </w:rPr>
  </w:style>
  <w:style w:type="paragraph" w:styleId="HTML">
    <w:name w:val="HTML Preformatted"/>
    <w:basedOn w:val="a"/>
    <w:link w:val="HTMLChar"/>
    <w:uiPriority w:val="99"/>
    <w:semiHidden/>
    <w:unhideWhenUsed/>
    <w:rsid w:val="004C62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semiHidden/>
    <w:rsid w:val="004C6294"/>
    <w:rPr>
      <w:rFonts w:ascii="굴림체" w:eastAsia="굴림체" w:hAnsi="굴림체" w:cs="굴림체"/>
      <w:kern w:val="0"/>
      <w:sz w:val="24"/>
      <w:szCs w:val="24"/>
    </w:rPr>
  </w:style>
  <w:style w:type="paragraph" w:styleId="af1">
    <w:name w:val="Revision"/>
    <w:hidden/>
    <w:uiPriority w:val="99"/>
    <w:semiHidden/>
    <w:rsid w:val="00941D37"/>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365644323">
      <w:bodyDiv w:val="1"/>
      <w:marLeft w:val="0"/>
      <w:marRight w:val="0"/>
      <w:marTop w:val="0"/>
      <w:marBottom w:val="0"/>
      <w:divBdr>
        <w:top w:val="none" w:sz="0" w:space="0" w:color="auto"/>
        <w:left w:val="none" w:sz="0" w:space="0" w:color="auto"/>
        <w:bottom w:val="none" w:sz="0" w:space="0" w:color="auto"/>
        <w:right w:val="none" w:sz="0" w:space="0" w:color="auto"/>
      </w:divBdr>
    </w:div>
    <w:div w:id="560361601">
      <w:bodyDiv w:val="1"/>
      <w:marLeft w:val="0"/>
      <w:marRight w:val="0"/>
      <w:marTop w:val="0"/>
      <w:marBottom w:val="0"/>
      <w:divBdr>
        <w:top w:val="none" w:sz="0" w:space="0" w:color="auto"/>
        <w:left w:val="none" w:sz="0" w:space="0" w:color="auto"/>
        <w:bottom w:val="none" w:sz="0" w:space="0" w:color="auto"/>
        <w:right w:val="none" w:sz="0" w:space="0" w:color="auto"/>
      </w:divBdr>
    </w:div>
    <w:div w:id="858278521">
      <w:bodyDiv w:val="1"/>
      <w:marLeft w:val="0"/>
      <w:marRight w:val="0"/>
      <w:marTop w:val="0"/>
      <w:marBottom w:val="0"/>
      <w:divBdr>
        <w:top w:val="none" w:sz="0" w:space="0" w:color="auto"/>
        <w:left w:val="none" w:sz="0" w:space="0" w:color="auto"/>
        <w:bottom w:val="none" w:sz="0" w:space="0" w:color="auto"/>
        <w:right w:val="none" w:sz="0" w:space="0" w:color="auto"/>
      </w:divBdr>
      <w:divsChild>
        <w:div w:id="287204724">
          <w:marLeft w:val="0"/>
          <w:marRight w:val="0"/>
          <w:marTop w:val="0"/>
          <w:marBottom w:val="0"/>
          <w:divBdr>
            <w:top w:val="none" w:sz="0" w:space="0" w:color="auto"/>
            <w:left w:val="none" w:sz="0" w:space="0" w:color="auto"/>
            <w:bottom w:val="none" w:sz="0" w:space="0" w:color="auto"/>
            <w:right w:val="none" w:sz="0" w:space="0" w:color="auto"/>
          </w:divBdr>
          <w:divsChild>
            <w:div w:id="735013399">
              <w:marLeft w:val="0"/>
              <w:marRight w:val="0"/>
              <w:marTop w:val="0"/>
              <w:marBottom w:val="0"/>
              <w:divBdr>
                <w:top w:val="none" w:sz="0" w:space="0" w:color="auto"/>
                <w:left w:val="none" w:sz="0" w:space="0" w:color="auto"/>
                <w:bottom w:val="none" w:sz="0" w:space="0" w:color="auto"/>
                <w:right w:val="none" w:sz="0" w:space="0" w:color="auto"/>
              </w:divBdr>
              <w:divsChild>
                <w:div w:id="342319402">
                  <w:marLeft w:val="0"/>
                  <w:marRight w:val="0"/>
                  <w:marTop w:val="0"/>
                  <w:marBottom w:val="0"/>
                  <w:divBdr>
                    <w:top w:val="none" w:sz="0" w:space="0" w:color="auto"/>
                    <w:left w:val="none" w:sz="0" w:space="0" w:color="auto"/>
                    <w:bottom w:val="none" w:sz="0" w:space="0" w:color="auto"/>
                    <w:right w:val="none" w:sz="0" w:space="0" w:color="auto"/>
                  </w:divBdr>
                  <w:divsChild>
                    <w:div w:id="1178688943">
                      <w:marLeft w:val="0"/>
                      <w:marRight w:val="0"/>
                      <w:marTop w:val="0"/>
                      <w:marBottom w:val="0"/>
                      <w:divBdr>
                        <w:top w:val="none" w:sz="0" w:space="0" w:color="auto"/>
                        <w:left w:val="none" w:sz="0" w:space="0" w:color="auto"/>
                        <w:bottom w:val="none" w:sz="0" w:space="0" w:color="auto"/>
                        <w:right w:val="none" w:sz="0" w:space="0" w:color="auto"/>
                      </w:divBdr>
                      <w:divsChild>
                        <w:div w:id="1258053767">
                          <w:marLeft w:val="0"/>
                          <w:marRight w:val="0"/>
                          <w:marTop w:val="0"/>
                          <w:marBottom w:val="0"/>
                          <w:divBdr>
                            <w:top w:val="none" w:sz="0" w:space="0" w:color="auto"/>
                            <w:left w:val="none" w:sz="0" w:space="0" w:color="auto"/>
                            <w:bottom w:val="none" w:sz="0" w:space="0" w:color="auto"/>
                            <w:right w:val="none" w:sz="0" w:space="0" w:color="auto"/>
                          </w:divBdr>
                          <w:divsChild>
                            <w:div w:id="1247760848">
                              <w:marLeft w:val="2700"/>
                              <w:marRight w:val="3735"/>
                              <w:marTop w:val="0"/>
                              <w:marBottom w:val="0"/>
                              <w:divBdr>
                                <w:top w:val="none" w:sz="0" w:space="0" w:color="auto"/>
                                <w:left w:val="none" w:sz="0" w:space="0" w:color="auto"/>
                                <w:bottom w:val="none" w:sz="0" w:space="0" w:color="auto"/>
                                <w:right w:val="none" w:sz="0" w:space="0" w:color="auto"/>
                              </w:divBdr>
                              <w:divsChild>
                                <w:div w:id="1192650814">
                                  <w:marLeft w:val="0"/>
                                  <w:marRight w:val="0"/>
                                  <w:marTop w:val="0"/>
                                  <w:marBottom w:val="0"/>
                                  <w:divBdr>
                                    <w:top w:val="none" w:sz="0" w:space="0" w:color="auto"/>
                                    <w:left w:val="none" w:sz="0" w:space="0" w:color="auto"/>
                                    <w:bottom w:val="none" w:sz="0" w:space="0" w:color="auto"/>
                                    <w:right w:val="none" w:sz="0" w:space="0" w:color="auto"/>
                                  </w:divBdr>
                                  <w:divsChild>
                                    <w:div w:id="1729763034">
                                      <w:marLeft w:val="0"/>
                                      <w:marRight w:val="0"/>
                                      <w:marTop w:val="0"/>
                                      <w:marBottom w:val="0"/>
                                      <w:divBdr>
                                        <w:top w:val="none" w:sz="0" w:space="0" w:color="auto"/>
                                        <w:left w:val="none" w:sz="0" w:space="0" w:color="auto"/>
                                        <w:bottom w:val="none" w:sz="0" w:space="0" w:color="auto"/>
                                        <w:right w:val="none" w:sz="0" w:space="0" w:color="auto"/>
                                      </w:divBdr>
                                      <w:divsChild>
                                        <w:div w:id="1514687109">
                                          <w:marLeft w:val="0"/>
                                          <w:marRight w:val="0"/>
                                          <w:marTop w:val="0"/>
                                          <w:marBottom w:val="0"/>
                                          <w:divBdr>
                                            <w:top w:val="none" w:sz="0" w:space="0" w:color="auto"/>
                                            <w:left w:val="none" w:sz="0" w:space="0" w:color="auto"/>
                                            <w:bottom w:val="none" w:sz="0" w:space="0" w:color="auto"/>
                                            <w:right w:val="none" w:sz="0" w:space="0" w:color="auto"/>
                                          </w:divBdr>
                                          <w:divsChild>
                                            <w:div w:id="1918400132">
                                              <w:marLeft w:val="0"/>
                                              <w:marRight w:val="0"/>
                                              <w:marTop w:val="90"/>
                                              <w:marBottom w:val="0"/>
                                              <w:divBdr>
                                                <w:top w:val="none" w:sz="0" w:space="0" w:color="auto"/>
                                                <w:left w:val="none" w:sz="0" w:space="0" w:color="auto"/>
                                                <w:bottom w:val="none" w:sz="0" w:space="0" w:color="auto"/>
                                                <w:right w:val="none" w:sz="0" w:space="0" w:color="auto"/>
                                              </w:divBdr>
                                              <w:divsChild>
                                                <w:div w:id="1916280637">
                                                  <w:marLeft w:val="0"/>
                                                  <w:marRight w:val="0"/>
                                                  <w:marTop w:val="0"/>
                                                  <w:marBottom w:val="420"/>
                                                  <w:divBdr>
                                                    <w:top w:val="none" w:sz="0" w:space="0" w:color="auto"/>
                                                    <w:left w:val="none" w:sz="0" w:space="0" w:color="auto"/>
                                                    <w:bottom w:val="none" w:sz="0" w:space="0" w:color="auto"/>
                                                    <w:right w:val="none" w:sz="0" w:space="0" w:color="auto"/>
                                                  </w:divBdr>
                                                  <w:divsChild>
                                                    <w:div w:id="224533369">
                                                      <w:marLeft w:val="0"/>
                                                      <w:marRight w:val="0"/>
                                                      <w:marTop w:val="0"/>
                                                      <w:marBottom w:val="0"/>
                                                      <w:divBdr>
                                                        <w:top w:val="none" w:sz="0" w:space="0" w:color="auto"/>
                                                        <w:left w:val="none" w:sz="0" w:space="0" w:color="auto"/>
                                                        <w:bottom w:val="none" w:sz="0" w:space="0" w:color="auto"/>
                                                        <w:right w:val="none" w:sz="0" w:space="0" w:color="auto"/>
                                                      </w:divBdr>
                                                      <w:divsChild>
                                                        <w:div w:id="181357390">
                                                          <w:marLeft w:val="0"/>
                                                          <w:marRight w:val="0"/>
                                                          <w:marTop w:val="0"/>
                                                          <w:marBottom w:val="0"/>
                                                          <w:divBdr>
                                                            <w:top w:val="single" w:sz="6" w:space="0" w:color="DFE1E5"/>
                                                            <w:left w:val="single" w:sz="6" w:space="0" w:color="DFE1E5"/>
                                                            <w:bottom w:val="single" w:sz="6" w:space="0" w:color="DFE1E5"/>
                                                            <w:right w:val="single" w:sz="6" w:space="0" w:color="DFE1E5"/>
                                                          </w:divBdr>
                                                          <w:divsChild>
                                                            <w:div w:id="2132045672">
                                                              <w:marLeft w:val="0"/>
                                                              <w:marRight w:val="0"/>
                                                              <w:marTop w:val="0"/>
                                                              <w:marBottom w:val="0"/>
                                                              <w:divBdr>
                                                                <w:top w:val="none" w:sz="0" w:space="0" w:color="auto"/>
                                                                <w:left w:val="none" w:sz="0" w:space="0" w:color="auto"/>
                                                                <w:bottom w:val="none" w:sz="0" w:space="0" w:color="auto"/>
                                                                <w:right w:val="none" w:sz="0" w:space="0" w:color="auto"/>
                                                              </w:divBdr>
                                                              <w:divsChild>
                                                                <w:div w:id="4599431">
                                                                  <w:marLeft w:val="0"/>
                                                                  <w:marRight w:val="0"/>
                                                                  <w:marTop w:val="0"/>
                                                                  <w:marBottom w:val="0"/>
                                                                  <w:divBdr>
                                                                    <w:top w:val="none" w:sz="0" w:space="0" w:color="auto"/>
                                                                    <w:left w:val="none" w:sz="0" w:space="0" w:color="auto"/>
                                                                    <w:bottom w:val="none" w:sz="0" w:space="0" w:color="auto"/>
                                                                    <w:right w:val="none" w:sz="0" w:space="0" w:color="auto"/>
                                                                  </w:divBdr>
                                                                  <w:divsChild>
                                                                    <w:div w:id="422261283">
                                                                      <w:marLeft w:val="0"/>
                                                                      <w:marRight w:val="0"/>
                                                                      <w:marTop w:val="0"/>
                                                                      <w:marBottom w:val="0"/>
                                                                      <w:divBdr>
                                                                        <w:top w:val="none" w:sz="0" w:space="0" w:color="auto"/>
                                                                        <w:left w:val="none" w:sz="0" w:space="0" w:color="auto"/>
                                                                        <w:bottom w:val="none" w:sz="0" w:space="0" w:color="auto"/>
                                                                        <w:right w:val="none" w:sz="0" w:space="0" w:color="auto"/>
                                                                      </w:divBdr>
                                                                      <w:divsChild>
                                                                        <w:div w:id="319500212">
                                                                          <w:marLeft w:val="0"/>
                                                                          <w:marRight w:val="0"/>
                                                                          <w:marTop w:val="0"/>
                                                                          <w:marBottom w:val="0"/>
                                                                          <w:divBdr>
                                                                            <w:top w:val="none" w:sz="0" w:space="0" w:color="auto"/>
                                                                            <w:left w:val="none" w:sz="0" w:space="0" w:color="auto"/>
                                                                            <w:bottom w:val="none" w:sz="0" w:space="0" w:color="auto"/>
                                                                            <w:right w:val="none" w:sz="0" w:space="0" w:color="auto"/>
                                                                          </w:divBdr>
                                                                          <w:divsChild>
                                                                            <w:div w:id="1980375633">
                                                                              <w:marLeft w:val="0"/>
                                                                              <w:marRight w:val="0"/>
                                                                              <w:marTop w:val="0"/>
                                                                              <w:marBottom w:val="0"/>
                                                                              <w:divBdr>
                                                                                <w:top w:val="none" w:sz="0" w:space="0" w:color="auto"/>
                                                                                <w:left w:val="none" w:sz="0" w:space="0" w:color="auto"/>
                                                                                <w:bottom w:val="none" w:sz="0" w:space="0" w:color="auto"/>
                                                                                <w:right w:val="none" w:sz="0" w:space="0" w:color="auto"/>
                                                                              </w:divBdr>
                                                                              <w:divsChild>
                                                                                <w:div w:id="1623490332">
                                                                                  <w:marLeft w:val="0"/>
                                                                                  <w:marRight w:val="0"/>
                                                                                  <w:marTop w:val="0"/>
                                                                                  <w:marBottom w:val="0"/>
                                                                                  <w:divBdr>
                                                                                    <w:top w:val="none" w:sz="0" w:space="0" w:color="auto"/>
                                                                                    <w:left w:val="none" w:sz="0" w:space="0" w:color="auto"/>
                                                                                    <w:bottom w:val="none" w:sz="0" w:space="0" w:color="auto"/>
                                                                                    <w:right w:val="none" w:sz="0" w:space="0" w:color="auto"/>
                                                                                  </w:divBdr>
                                                                                  <w:divsChild>
                                                                                    <w:div w:id="7709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1035252">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91064388">
      <w:bodyDiv w:val="1"/>
      <w:marLeft w:val="0"/>
      <w:marRight w:val="0"/>
      <w:marTop w:val="0"/>
      <w:marBottom w:val="0"/>
      <w:divBdr>
        <w:top w:val="none" w:sz="0" w:space="0" w:color="auto"/>
        <w:left w:val="none" w:sz="0" w:space="0" w:color="auto"/>
        <w:bottom w:val="none" w:sz="0" w:space="0" w:color="auto"/>
        <w:right w:val="none" w:sz="0" w:space="0" w:color="auto"/>
      </w:divBdr>
    </w:div>
    <w:div w:id="1110585823">
      <w:bodyDiv w:val="1"/>
      <w:marLeft w:val="0"/>
      <w:marRight w:val="0"/>
      <w:marTop w:val="0"/>
      <w:marBottom w:val="0"/>
      <w:divBdr>
        <w:top w:val="none" w:sz="0" w:space="0" w:color="auto"/>
        <w:left w:val="none" w:sz="0" w:space="0" w:color="auto"/>
        <w:bottom w:val="none" w:sz="0" w:space="0" w:color="auto"/>
        <w:right w:val="none" w:sz="0" w:space="0" w:color="auto"/>
      </w:divBdr>
    </w:div>
    <w:div w:id="1219047158">
      <w:bodyDiv w:val="1"/>
      <w:marLeft w:val="0"/>
      <w:marRight w:val="0"/>
      <w:marTop w:val="0"/>
      <w:marBottom w:val="0"/>
      <w:divBdr>
        <w:top w:val="none" w:sz="0" w:space="0" w:color="auto"/>
        <w:left w:val="none" w:sz="0" w:space="0" w:color="auto"/>
        <w:bottom w:val="none" w:sz="0" w:space="0" w:color="auto"/>
        <w:right w:val="none" w:sz="0" w:space="0" w:color="auto"/>
      </w:divBdr>
      <w:divsChild>
        <w:div w:id="1996953887">
          <w:marLeft w:val="0"/>
          <w:marRight w:val="0"/>
          <w:marTop w:val="0"/>
          <w:marBottom w:val="0"/>
          <w:divBdr>
            <w:top w:val="none" w:sz="0" w:space="0" w:color="auto"/>
            <w:left w:val="none" w:sz="0" w:space="0" w:color="auto"/>
            <w:bottom w:val="none" w:sz="0" w:space="0" w:color="auto"/>
            <w:right w:val="none" w:sz="0" w:space="0" w:color="auto"/>
          </w:divBdr>
          <w:divsChild>
            <w:div w:id="1042098372">
              <w:marLeft w:val="0"/>
              <w:marRight w:val="0"/>
              <w:marTop w:val="0"/>
              <w:marBottom w:val="0"/>
              <w:divBdr>
                <w:top w:val="none" w:sz="0" w:space="0" w:color="auto"/>
                <w:left w:val="none" w:sz="0" w:space="0" w:color="auto"/>
                <w:bottom w:val="none" w:sz="0" w:space="0" w:color="auto"/>
                <w:right w:val="none" w:sz="0" w:space="0" w:color="auto"/>
              </w:divBdr>
              <w:divsChild>
                <w:div w:id="1080566508">
                  <w:marLeft w:val="0"/>
                  <w:marRight w:val="0"/>
                  <w:marTop w:val="0"/>
                  <w:marBottom w:val="0"/>
                  <w:divBdr>
                    <w:top w:val="none" w:sz="0" w:space="0" w:color="auto"/>
                    <w:left w:val="none" w:sz="0" w:space="0" w:color="auto"/>
                    <w:bottom w:val="none" w:sz="0" w:space="0" w:color="auto"/>
                    <w:right w:val="none" w:sz="0" w:space="0" w:color="auto"/>
                  </w:divBdr>
                  <w:divsChild>
                    <w:div w:id="1796172292">
                      <w:marLeft w:val="0"/>
                      <w:marRight w:val="0"/>
                      <w:marTop w:val="0"/>
                      <w:marBottom w:val="0"/>
                      <w:divBdr>
                        <w:top w:val="none" w:sz="0" w:space="0" w:color="auto"/>
                        <w:left w:val="none" w:sz="0" w:space="0" w:color="auto"/>
                        <w:bottom w:val="none" w:sz="0" w:space="0" w:color="auto"/>
                        <w:right w:val="none" w:sz="0" w:space="0" w:color="auto"/>
                      </w:divBdr>
                      <w:divsChild>
                        <w:div w:id="2087678289">
                          <w:marLeft w:val="0"/>
                          <w:marRight w:val="0"/>
                          <w:marTop w:val="0"/>
                          <w:marBottom w:val="0"/>
                          <w:divBdr>
                            <w:top w:val="none" w:sz="0" w:space="0" w:color="auto"/>
                            <w:left w:val="none" w:sz="0" w:space="0" w:color="auto"/>
                            <w:bottom w:val="none" w:sz="0" w:space="0" w:color="auto"/>
                            <w:right w:val="none" w:sz="0" w:space="0" w:color="auto"/>
                          </w:divBdr>
                          <w:divsChild>
                            <w:div w:id="1761877060">
                              <w:marLeft w:val="2700"/>
                              <w:marRight w:val="3735"/>
                              <w:marTop w:val="0"/>
                              <w:marBottom w:val="0"/>
                              <w:divBdr>
                                <w:top w:val="none" w:sz="0" w:space="0" w:color="auto"/>
                                <w:left w:val="none" w:sz="0" w:space="0" w:color="auto"/>
                                <w:bottom w:val="none" w:sz="0" w:space="0" w:color="auto"/>
                                <w:right w:val="none" w:sz="0" w:space="0" w:color="auto"/>
                              </w:divBdr>
                              <w:divsChild>
                                <w:div w:id="45296939">
                                  <w:marLeft w:val="0"/>
                                  <w:marRight w:val="0"/>
                                  <w:marTop w:val="0"/>
                                  <w:marBottom w:val="0"/>
                                  <w:divBdr>
                                    <w:top w:val="none" w:sz="0" w:space="0" w:color="auto"/>
                                    <w:left w:val="none" w:sz="0" w:space="0" w:color="auto"/>
                                    <w:bottom w:val="none" w:sz="0" w:space="0" w:color="auto"/>
                                    <w:right w:val="none" w:sz="0" w:space="0" w:color="auto"/>
                                  </w:divBdr>
                                  <w:divsChild>
                                    <w:div w:id="915675168">
                                      <w:marLeft w:val="0"/>
                                      <w:marRight w:val="0"/>
                                      <w:marTop w:val="0"/>
                                      <w:marBottom w:val="0"/>
                                      <w:divBdr>
                                        <w:top w:val="none" w:sz="0" w:space="0" w:color="auto"/>
                                        <w:left w:val="none" w:sz="0" w:space="0" w:color="auto"/>
                                        <w:bottom w:val="none" w:sz="0" w:space="0" w:color="auto"/>
                                        <w:right w:val="none" w:sz="0" w:space="0" w:color="auto"/>
                                      </w:divBdr>
                                      <w:divsChild>
                                        <w:div w:id="876354657">
                                          <w:marLeft w:val="0"/>
                                          <w:marRight w:val="0"/>
                                          <w:marTop w:val="0"/>
                                          <w:marBottom w:val="0"/>
                                          <w:divBdr>
                                            <w:top w:val="none" w:sz="0" w:space="0" w:color="auto"/>
                                            <w:left w:val="none" w:sz="0" w:space="0" w:color="auto"/>
                                            <w:bottom w:val="none" w:sz="0" w:space="0" w:color="auto"/>
                                            <w:right w:val="none" w:sz="0" w:space="0" w:color="auto"/>
                                          </w:divBdr>
                                          <w:divsChild>
                                            <w:div w:id="779880607">
                                              <w:marLeft w:val="0"/>
                                              <w:marRight w:val="0"/>
                                              <w:marTop w:val="90"/>
                                              <w:marBottom w:val="0"/>
                                              <w:divBdr>
                                                <w:top w:val="none" w:sz="0" w:space="0" w:color="auto"/>
                                                <w:left w:val="none" w:sz="0" w:space="0" w:color="auto"/>
                                                <w:bottom w:val="none" w:sz="0" w:space="0" w:color="auto"/>
                                                <w:right w:val="none" w:sz="0" w:space="0" w:color="auto"/>
                                              </w:divBdr>
                                              <w:divsChild>
                                                <w:div w:id="1551726942">
                                                  <w:marLeft w:val="0"/>
                                                  <w:marRight w:val="0"/>
                                                  <w:marTop w:val="0"/>
                                                  <w:marBottom w:val="420"/>
                                                  <w:divBdr>
                                                    <w:top w:val="none" w:sz="0" w:space="0" w:color="auto"/>
                                                    <w:left w:val="none" w:sz="0" w:space="0" w:color="auto"/>
                                                    <w:bottom w:val="none" w:sz="0" w:space="0" w:color="auto"/>
                                                    <w:right w:val="none" w:sz="0" w:space="0" w:color="auto"/>
                                                  </w:divBdr>
                                                  <w:divsChild>
                                                    <w:div w:id="1173838593">
                                                      <w:marLeft w:val="0"/>
                                                      <w:marRight w:val="0"/>
                                                      <w:marTop w:val="0"/>
                                                      <w:marBottom w:val="0"/>
                                                      <w:divBdr>
                                                        <w:top w:val="none" w:sz="0" w:space="0" w:color="auto"/>
                                                        <w:left w:val="none" w:sz="0" w:space="0" w:color="auto"/>
                                                        <w:bottom w:val="none" w:sz="0" w:space="0" w:color="auto"/>
                                                        <w:right w:val="none" w:sz="0" w:space="0" w:color="auto"/>
                                                      </w:divBdr>
                                                      <w:divsChild>
                                                        <w:div w:id="1316454164">
                                                          <w:marLeft w:val="0"/>
                                                          <w:marRight w:val="0"/>
                                                          <w:marTop w:val="0"/>
                                                          <w:marBottom w:val="0"/>
                                                          <w:divBdr>
                                                            <w:top w:val="single" w:sz="6" w:space="0" w:color="DFE1E5"/>
                                                            <w:left w:val="single" w:sz="6" w:space="0" w:color="DFE1E5"/>
                                                            <w:bottom w:val="single" w:sz="6" w:space="0" w:color="DFE1E5"/>
                                                            <w:right w:val="single" w:sz="6" w:space="0" w:color="DFE1E5"/>
                                                          </w:divBdr>
                                                          <w:divsChild>
                                                            <w:div w:id="1722439381">
                                                              <w:marLeft w:val="0"/>
                                                              <w:marRight w:val="0"/>
                                                              <w:marTop w:val="0"/>
                                                              <w:marBottom w:val="0"/>
                                                              <w:divBdr>
                                                                <w:top w:val="none" w:sz="0" w:space="0" w:color="auto"/>
                                                                <w:left w:val="none" w:sz="0" w:space="0" w:color="auto"/>
                                                                <w:bottom w:val="none" w:sz="0" w:space="0" w:color="auto"/>
                                                                <w:right w:val="none" w:sz="0" w:space="0" w:color="auto"/>
                                                              </w:divBdr>
                                                              <w:divsChild>
                                                                <w:div w:id="786437568">
                                                                  <w:marLeft w:val="0"/>
                                                                  <w:marRight w:val="0"/>
                                                                  <w:marTop w:val="0"/>
                                                                  <w:marBottom w:val="0"/>
                                                                  <w:divBdr>
                                                                    <w:top w:val="none" w:sz="0" w:space="0" w:color="auto"/>
                                                                    <w:left w:val="none" w:sz="0" w:space="0" w:color="auto"/>
                                                                    <w:bottom w:val="none" w:sz="0" w:space="0" w:color="auto"/>
                                                                    <w:right w:val="none" w:sz="0" w:space="0" w:color="auto"/>
                                                                  </w:divBdr>
                                                                  <w:divsChild>
                                                                    <w:div w:id="1589733301">
                                                                      <w:marLeft w:val="0"/>
                                                                      <w:marRight w:val="0"/>
                                                                      <w:marTop w:val="0"/>
                                                                      <w:marBottom w:val="0"/>
                                                                      <w:divBdr>
                                                                        <w:top w:val="none" w:sz="0" w:space="0" w:color="auto"/>
                                                                        <w:left w:val="none" w:sz="0" w:space="0" w:color="auto"/>
                                                                        <w:bottom w:val="none" w:sz="0" w:space="0" w:color="auto"/>
                                                                        <w:right w:val="none" w:sz="0" w:space="0" w:color="auto"/>
                                                                      </w:divBdr>
                                                                      <w:divsChild>
                                                                        <w:div w:id="1033307215">
                                                                          <w:marLeft w:val="0"/>
                                                                          <w:marRight w:val="0"/>
                                                                          <w:marTop w:val="0"/>
                                                                          <w:marBottom w:val="0"/>
                                                                          <w:divBdr>
                                                                            <w:top w:val="none" w:sz="0" w:space="0" w:color="auto"/>
                                                                            <w:left w:val="none" w:sz="0" w:space="0" w:color="auto"/>
                                                                            <w:bottom w:val="none" w:sz="0" w:space="0" w:color="auto"/>
                                                                            <w:right w:val="none" w:sz="0" w:space="0" w:color="auto"/>
                                                                          </w:divBdr>
                                                                          <w:divsChild>
                                                                            <w:div w:id="1771969029">
                                                                              <w:marLeft w:val="0"/>
                                                                              <w:marRight w:val="0"/>
                                                                              <w:marTop w:val="0"/>
                                                                              <w:marBottom w:val="0"/>
                                                                              <w:divBdr>
                                                                                <w:top w:val="none" w:sz="0" w:space="0" w:color="auto"/>
                                                                                <w:left w:val="none" w:sz="0" w:space="0" w:color="auto"/>
                                                                                <w:bottom w:val="none" w:sz="0" w:space="0" w:color="auto"/>
                                                                                <w:right w:val="none" w:sz="0" w:space="0" w:color="auto"/>
                                                                              </w:divBdr>
                                                                              <w:divsChild>
                                                                                <w:div w:id="1436827618">
                                                                                  <w:marLeft w:val="0"/>
                                                                                  <w:marRight w:val="0"/>
                                                                                  <w:marTop w:val="0"/>
                                                                                  <w:marBottom w:val="0"/>
                                                                                  <w:divBdr>
                                                                                    <w:top w:val="none" w:sz="0" w:space="0" w:color="auto"/>
                                                                                    <w:left w:val="none" w:sz="0" w:space="0" w:color="auto"/>
                                                                                    <w:bottom w:val="none" w:sz="0" w:space="0" w:color="auto"/>
                                                                                    <w:right w:val="none" w:sz="0" w:space="0" w:color="auto"/>
                                                                                  </w:divBdr>
                                                                                  <w:divsChild>
                                                                                    <w:div w:id="123890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1753665">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616062232">
      <w:bodyDiv w:val="1"/>
      <w:marLeft w:val="0"/>
      <w:marRight w:val="0"/>
      <w:marTop w:val="0"/>
      <w:marBottom w:val="0"/>
      <w:divBdr>
        <w:top w:val="none" w:sz="0" w:space="0" w:color="auto"/>
        <w:left w:val="none" w:sz="0" w:space="0" w:color="auto"/>
        <w:bottom w:val="none" w:sz="0" w:space="0" w:color="auto"/>
        <w:right w:val="none" w:sz="0" w:space="0" w:color="auto"/>
      </w:divBdr>
    </w:div>
    <w:div w:id="1793089019">
      <w:bodyDiv w:val="1"/>
      <w:marLeft w:val="0"/>
      <w:marRight w:val="0"/>
      <w:marTop w:val="0"/>
      <w:marBottom w:val="0"/>
      <w:divBdr>
        <w:top w:val="none" w:sz="0" w:space="0" w:color="auto"/>
        <w:left w:val="none" w:sz="0" w:space="0" w:color="auto"/>
        <w:bottom w:val="none" w:sz="0" w:space="0" w:color="auto"/>
        <w:right w:val="none" w:sz="0" w:space="0" w:color="auto"/>
      </w:divBdr>
    </w:div>
    <w:div w:id="1810202385">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56478968">
      <w:bodyDiv w:val="1"/>
      <w:marLeft w:val="0"/>
      <w:marRight w:val="0"/>
      <w:marTop w:val="0"/>
      <w:marBottom w:val="0"/>
      <w:divBdr>
        <w:top w:val="none" w:sz="0" w:space="0" w:color="auto"/>
        <w:left w:val="none" w:sz="0" w:space="0" w:color="auto"/>
        <w:bottom w:val="none" w:sz="0" w:space="0" w:color="auto"/>
        <w:right w:val="none" w:sz="0" w:space="0" w:color="auto"/>
      </w:divBdr>
    </w:div>
    <w:div w:id="208529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BCC22-1197-405E-8CD5-5E406F016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4866</Words>
  <Characters>27742</Characters>
  <Application>Microsoft Office Word</Application>
  <DocSecurity>0</DocSecurity>
  <Lines>231</Lines>
  <Paragraphs>65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Jaehoon Chung (LGE)</cp:lastModifiedBy>
  <cp:revision>2</cp:revision>
  <dcterms:created xsi:type="dcterms:W3CDTF">2020-10-23T07:28:00Z</dcterms:created>
  <dcterms:modified xsi:type="dcterms:W3CDTF">2020-10-23T07:28:00Z</dcterms:modified>
</cp:coreProperties>
</file>